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84" w:rsidRDefault="00A53F84" w:rsidP="001B31B3">
      <w:pPr>
        <w:rPr>
          <w:rFonts w:ascii="Arial" w:hAnsi="Arial" w:cs="Arial"/>
          <w:b/>
          <w:sz w:val="28"/>
          <w:szCs w:val="24"/>
        </w:rPr>
      </w:pPr>
      <w:bookmarkStart w:id="0" w:name="_GoBack"/>
      <w:bookmarkEnd w:id="0"/>
      <w:r>
        <w:rPr>
          <w:rFonts w:ascii="Arial" w:hAnsi="Arial" w:cs="Arial"/>
          <w:b/>
          <w:sz w:val="28"/>
          <w:szCs w:val="24"/>
        </w:rPr>
        <w:t>PAPER FROM NHS ENGLAND</w:t>
      </w:r>
    </w:p>
    <w:p w:rsidR="00A910BB" w:rsidRPr="001B31B3" w:rsidRDefault="00241169" w:rsidP="001B31B3">
      <w:pPr>
        <w:rPr>
          <w:rFonts w:ascii="Arial" w:hAnsi="Arial" w:cs="Arial"/>
          <w:b/>
          <w:sz w:val="28"/>
          <w:szCs w:val="24"/>
        </w:rPr>
      </w:pPr>
      <w:r>
        <w:rPr>
          <w:rFonts w:ascii="Arial" w:hAnsi="Arial" w:cs="Arial"/>
          <w:b/>
          <w:sz w:val="28"/>
          <w:szCs w:val="24"/>
        </w:rPr>
        <w:t>Improving retention of older doctors</w:t>
      </w:r>
      <w:r w:rsidR="00086559">
        <w:rPr>
          <w:rFonts w:ascii="Arial" w:hAnsi="Arial" w:cs="Arial"/>
          <w:b/>
          <w:sz w:val="28"/>
          <w:szCs w:val="24"/>
        </w:rPr>
        <w:t xml:space="preserve"> </w:t>
      </w:r>
    </w:p>
    <w:p w:rsidR="00086559" w:rsidRDefault="00086559" w:rsidP="00455C1D">
      <w:pPr>
        <w:rPr>
          <w:rFonts w:ascii="Arial" w:hAnsi="Arial" w:cs="Arial"/>
          <w:b/>
          <w:sz w:val="24"/>
          <w:szCs w:val="24"/>
        </w:rPr>
      </w:pPr>
      <w:r>
        <w:rPr>
          <w:rFonts w:ascii="Arial" w:hAnsi="Arial" w:cs="Arial"/>
          <w:b/>
          <w:sz w:val="24"/>
          <w:szCs w:val="24"/>
        </w:rPr>
        <w:t>Overview</w:t>
      </w:r>
    </w:p>
    <w:p w:rsidR="002E0A49" w:rsidRDefault="002E0A49" w:rsidP="00BB6F65">
      <w:pPr>
        <w:pStyle w:val="ListParagraph"/>
        <w:numPr>
          <w:ilvl w:val="0"/>
          <w:numId w:val="9"/>
        </w:numPr>
        <w:rPr>
          <w:rFonts w:ascii="Arial" w:eastAsia="Times New Roman" w:hAnsi="Arial" w:cs="Arial"/>
          <w:snapToGrid w:val="0"/>
          <w:sz w:val="24"/>
          <w:szCs w:val="24"/>
        </w:rPr>
      </w:pPr>
      <w:r>
        <w:rPr>
          <w:rFonts w:ascii="Arial" w:eastAsia="Times New Roman" w:hAnsi="Arial" w:cs="Arial"/>
          <w:snapToGrid w:val="0"/>
          <w:sz w:val="24"/>
          <w:szCs w:val="24"/>
        </w:rPr>
        <w:t xml:space="preserve">This proposal is intended to </w:t>
      </w:r>
      <w:r w:rsidR="00466172">
        <w:rPr>
          <w:rFonts w:ascii="Arial" w:eastAsia="Times New Roman" w:hAnsi="Arial" w:cs="Arial"/>
          <w:snapToGrid w:val="0"/>
          <w:sz w:val="24"/>
          <w:szCs w:val="24"/>
        </w:rPr>
        <w:t>contribute to a r</w:t>
      </w:r>
      <w:r w:rsidR="00C36F61">
        <w:rPr>
          <w:rFonts w:ascii="Arial" w:eastAsia="Times New Roman" w:hAnsi="Arial" w:cs="Arial"/>
          <w:snapToGrid w:val="0"/>
          <w:sz w:val="24"/>
          <w:szCs w:val="24"/>
        </w:rPr>
        <w:t>an</w:t>
      </w:r>
      <w:r w:rsidR="00466172">
        <w:rPr>
          <w:rFonts w:ascii="Arial" w:eastAsia="Times New Roman" w:hAnsi="Arial" w:cs="Arial"/>
          <w:snapToGrid w:val="0"/>
          <w:sz w:val="24"/>
          <w:szCs w:val="24"/>
        </w:rPr>
        <w:t xml:space="preserve">ge of measures that will </w:t>
      </w:r>
      <w:r w:rsidR="00A53F84">
        <w:rPr>
          <w:rFonts w:ascii="Arial" w:eastAsia="Times New Roman" w:hAnsi="Arial" w:cs="Arial"/>
          <w:snapToGrid w:val="0"/>
          <w:sz w:val="24"/>
          <w:szCs w:val="24"/>
        </w:rPr>
        <w:t xml:space="preserve">help reduce </w:t>
      </w:r>
      <w:r>
        <w:rPr>
          <w:rFonts w:ascii="Arial" w:eastAsia="Times New Roman" w:hAnsi="Arial" w:cs="Arial"/>
          <w:snapToGrid w:val="0"/>
          <w:sz w:val="24"/>
          <w:szCs w:val="24"/>
        </w:rPr>
        <w:t>the number of GPs who leave the professi</w:t>
      </w:r>
      <w:r w:rsidR="00466172">
        <w:rPr>
          <w:rFonts w:ascii="Arial" w:eastAsia="Times New Roman" w:hAnsi="Arial" w:cs="Arial"/>
          <w:snapToGrid w:val="0"/>
          <w:sz w:val="24"/>
          <w:szCs w:val="24"/>
        </w:rPr>
        <w:t>on</w:t>
      </w:r>
      <w:r w:rsidR="00A53F84">
        <w:rPr>
          <w:rFonts w:ascii="Arial" w:eastAsia="Times New Roman" w:hAnsi="Arial" w:cs="Arial"/>
          <w:snapToGrid w:val="0"/>
          <w:sz w:val="24"/>
          <w:szCs w:val="24"/>
        </w:rPr>
        <w:t xml:space="preserve"> early, and contribute to the Government’s target to increase the number of doctors working in general practice by 5,000</w:t>
      </w:r>
      <w:r w:rsidR="00466172">
        <w:rPr>
          <w:rFonts w:ascii="Arial" w:eastAsia="Times New Roman" w:hAnsi="Arial" w:cs="Arial"/>
          <w:snapToGrid w:val="0"/>
          <w:sz w:val="24"/>
          <w:szCs w:val="24"/>
        </w:rPr>
        <w:t xml:space="preserve">. This </w:t>
      </w:r>
      <w:r w:rsidR="0011540C">
        <w:rPr>
          <w:rFonts w:ascii="Arial" w:eastAsia="Times New Roman" w:hAnsi="Arial" w:cs="Arial"/>
          <w:snapToGrid w:val="0"/>
          <w:sz w:val="24"/>
          <w:szCs w:val="24"/>
        </w:rPr>
        <w:t xml:space="preserve">scheme </w:t>
      </w:r>
      <w:r w:rsidR="00466172">
        <w:rPr>
          <w:rFonts w:ascii="Arial" w:eastAsia="Times New Roman" w:hAnsi="Arial" w:cs="Arial"/>
          <w:snapToGrid w:val="0"/>
          <w:sz w:val="24"/>
          <w:szCs w:val="24"/>
        </w:rPr>
        <w:t>will establish an opportunity for GPs to increase flexibility, variety and choice in their medical role.</w:t>
      </w:r>
      <w:r>
        <w:rPr>
          <w:rFonts w:ascii="Arial" w:eastAsia="Times New Roman" w:hAnsi="Arial" w:cs="Arial"/>
          <w:snapToGrid w:val="0"/>
          <w:sz w:val="24"/>
          <w:szCs w:val="24"/>
        </w:rPr>
        <w:br/>
      </w:r>
    </w:p>
    <w:p w:rsidR="00086559" w:rsidRPr="00A53F84" w:rsidRDefault="00466172" w:rsidP="00A53F84">
      <w:pPr>
        <w:pStyle w:val="ListParagraph"/>
        <w:numPr>
          <w:ilvl w:val="0"/>
          <w:numId w:val="9"/>
        </w:numPr>
        <w:rPr>
          <w:rFonts w:ascii="Arial" w:eastAsia="Times New Roman" w:hAnsi="Arial" w:cs="Arial"/>
          <w:snapToGrid w:val="0"/>
          <w:sz w:val="24"/>
          <w:szCs w:val="24"/>
        </w:rPr>
      </w:pPr>
      <w:r w:rsidRPr="00A53F84">
        <w:rPr>
          <w:rFonts w:ascii="Arial" w:eastAsia="Times New Roman" w:hAnsi="Arial" w:cs="Arial"/>
          <w:snapToGrid w:val="0"/>
          <w:sz w:val="24"/>
          <w:szCs w:val="24"/>
        </w:rPr>
        <w:t>This</w:t>
      </w:r>
      <w:r w:rsidR="00455C1D" w:rsidRPr="00A53F84">
        <w:rPr>
          <w:rFonts w:ascii="Arial" w:eastAsia="Times New Roman" w:hAnsi="Arial" w:cs="Arial"/>
          <w:snapToGrid w:val="0"/>
          <w:sz w:val="24"/>
          <w:szCs w:val="24"/>
        </w:rPr>
        <w:t xml:space="preserve"> scheme </w:t>
      </w:r>
      <w:r w:rsidRPr="00A53F84">
        <w:rPr>
          <w:rFonts w:ascii="Arial" w:eastAsia="Times New Roman" w:hAnsi="Arial" w:cs="Arial"/>
          <w:snapToGrid w:val="0"/>
          <w:sz w:val="24"/>
          <w:szCs w:val="24"/>
        </w:rPr>
        <w:t>will enable health systems to</w:t>
      </w:r>
      <w:r w:rsidR="00086559" w:rsidRPr="00A53F84">
        <w:rPr>
          <w:rFonts w:ascii="Arial" w:eastAsia="Times New Roman" w:hAnsi="Arial" w:cs="Arial"/>
          <w:snapToGrid w:val="0"/>
          <w:sz w:val="24"/>
          <w:szCs w:val="24"/>
        </w:rPr>
        <w:t xml:space="preserve"> recruit experienced GPs</w:t>
      </w:r>
      <w:r w:rsidRPr="00A53F84">
        <w:rPr>
          <w:rFonts w:ascii="Arial" w:eastAsia="Times New Roman" w:hAnsi="Arial" w:cs="Arial"/>
          <w:snapToGrid w:val="0"/>
          <w:sz w:val="24"/>
          <w:szCs w:val="24"/>
        </w:rPr>
        <w:t>,</w:t>
      </w:r>
      <w:r w:rsidR="00086559" w:rsidRPr="00A53F84">
        <w:rPr>
          <w:rFonts w:ascii="Arial" w:eastAsia="Times New Roman" w:hAnsi="Arial" w:cs="Arial"/>
          <w:snapToGrid w:val="0"/>
          <w:sz w:val="24"/>
          <w:szCs w:val="24"/>
        </w:rPr>
        <w:t xml:space="preserve"> who are</w:t>
      </w:r>
      <w:r w:rsidR="002B5E93" w:rsidRPr="00A53F84">
        <w:rPr>
          <w:rFonts w:ascii="Arial" w:eastAsia="Times New Roman" w:hAnsi="Arial" w:cs="Arial"/>
          <w:snapToGrid w:val="0"/>
          <w:sz w:val="24"/>
          <w:szCs w:val="24"/>
        </w:rPr>
        <w:t xml:space="preserve"> at risk of</w:t>
      </w:r>
      <w:r w:rsidR="00086559" w:rsidRPr="00A53F84">
        <w:rPr>
          <w:rFonts w:ascii="Arial" w:eastAsia="Times New Roman" w:hAnsi="Arial" w:cs="Arial"/>
          <w:snapToGrid w:val="0"/>
          <w:sz w:val="24"/>
          <w:szCs w:val="24"/>
        </w:rPr>
        <w:t xml:space="preserve"> leaving the workforce</w:t>
      </w:r>
      <w:r w:rsidRPr="00A53F84">
        <w:rPr>
          <w:rFonts w:ascii="Arial" w:eastAsia="Times New Roman" w:hAnsi="Arial" w:cs="Arial"/>
          <w:snapToGrid w:val="0"/>
          <w:sz w:val="24"/>
          <w:szCs w:val="24"/>
        </w:rPr>
        <w:t>,</w:t>
      </w:r>
      <w:r w:rsidR="00086559" w:rsidRPr="00A53F84">
        <w:rPr>
          <w:rFonts w:ascii="Arial" w:eastAsia="Times New Roman" w:hAnsi="Arial" w:cs="Arial"/>
          <w:snapToGrid w:val="0"/>
          <w:sz w:val="24"/>
          <w:szCs w:val="24"/>
        </w:rPr>
        <w:t xml:space="preserve"> into a resource pool</w:t>
      </w:r>
      <w:r w:rsidR="002636B5" w:rsidRPr="00A53F84">
        <w:rPr>
          <w:rFonts w:ascii="Arial" w:eastAsia="Times New Roman" w:hAnsi="Arial" w:cs="Arial"/>
          <w:snapToGrid w:val="0"/>
          <w:sz w:val="24"/>
          <w:szCs w:val="24"/>
        </w:rPr>
        <w:t xml:space="preserve"> that</w:t>
      </w:r>
      <w:r w:rsidRPr="00A53F84">
        <w:rPr>
          <w:rFonts w:ascii="Arial" w:eastAsia="Times New Roman" w:hAnsi="Arial" w:cs="Arial"/>
          <w:snapToGrid w:val="0"/>
          <w:sz w:val="24"/>
          <w:szCs w:val="24"/>
        </w:rPr>
        <w:t xml:space="preserve"> </w:t>
      </w:r>
      <w:r w:rsidR="002636B5" w:rsidRPr="00A53F84">
        <w:rPr>
          <w:rFonts w:ascii="Arial" w:eastAsia="Times New Roman" w:hAnsi="Arial" w:cs="Arial"/>
          <w:snapToGrid w:val="0"/>
          <w:sz w:val="24"/>
          <w:szCs w:val="24"/>
        </w:rPr>
        <w:t>work across</w:t>
      </w:r>
      <w:r w:rsidRPr="00A53F84">
        <w:rPr>
          <w:rFonts w:ascii="Arial" w:eastAsia="Times New Roman" w:hAnsi="Arial" w:cs="Arial"/>
          <w:snapToGrid w:val="0"/>
          <w:sz w:val="24"/>
          <w:szCs w:val="24"/>
        </w:rPr>
        <w:t xml:space="preserve"> a health system</w:t>
      </w:r>
      <w:r w:rsidR="002636B5" w:rsidRPr="00A53F84">
        <w:rPr>
          <w:rFonts w:ascii="Arial" w:eastAsia="Times New Roman" w:hAnsi="Arial" w:cs="Arial"/>
          <w:snapToGrid w:val="0"/>
          <w:sz w:val="24"/>
          <w:szCs w:val="24"/>
        </w:rPr>
        <w:t>s area</w:t>
      </w:r>
      <w:r w:rsidRPr="00A53F84">
        <w:rPr>
          <w:rFonts w:ascii="Arial" w:eastAsia="Times New Roman" w:hAnsi="Arial" w:cs="Arial"/>
          <w:snapToGrid w:val="0"/>
          <w:sz w:val="24"/>
          <w:szCs w:val="24"/>
        </w:rPr>
        <w:t xml:space="preserve">. These GPs would be recruited by a lead employer. </w:t>
      </w:r>
      <w:r w:rsidR="002B5E93" w:rsidRPr="00A53F84">
        <w:rPr>
          <w:rFonts w:ascii="Arial" w:eastAsia="Times New Roman" w:hAnsi="Arial" w:cs="Arial"/>
          <w:snapToGrid w:val="0"/>
          <w:sz w:val="24"/>
          <w:szCs w:val="24"/>
        </w:rPr>
        <w:t xml:space="preserve">The </w:t>
      </w:r>
      <w:r w:rsidR="00340153" w:rsidRPr="00A53F84">
        <w:rPr>
          <w:rFonts w:ascii="Arial" w:eastAsia="Times New Roman" w:hAnsi="Arial" w:cs="Arial"/>
          <w:snapToGrid w:val="0"/>
          <w:sz w:val="24"/>
          <w:szCs w:val="24"/>
        </w:rPr>
        <w:t xml:space="preserve">benefits of the GP </w:t>
      </w:r>
      <w:r w:rsidR="002B5E93" w:rsidRPr="00A53F84">
        <w:rPr>
          <w:rFonts w:ascii="Arial" w:eastAsia="Times New Roman" w:hAnsi="Arial" w:cs="Arial"/>
          <w:snapToGrid w:val="0"/>
          <w:sz w:val="24"/>
          <w:szCs w:val="24"/>
        </w:rPr>
        <w:t>pool</w:t>
      </w:r>
      <w:r w:rsidR="00340153" w:rsidRPr="00A53F84">
        <w:rPr>
          <w:rFonts w:ascii="Arial" w:eastAsia="Times New Roman" w:hAnsi="Arial" w:cs="Arial"/>
          <w:snapToGrid w:val="0"/>
          <w:sz w:val="24"/>
          <w:szCs w:val="24"/>
        </w:rPr>
        <w:t>s</w:t>
      </w:r>
      <w:r w:rsidR="002B5E93" w:rsidRPr="00A53F84">
        <w:rPr>
          <w:rFonts w:ascii="Arial" w:eastAsia="Times New Roman" w:hAnsi="Arial" w:cs="Arial"/>
          <w:snapToGrid w:val="0"/>
          <w:sz w:val="24"/>
          <w:szCs w:val="24"/>
        </w:rPr>
        <w:t xml:space="preserve"> would</w:t>
      </w:r>
      <w:r w:rsidR="00086559" w:rsidRPr="00A53F84">
        <w:rPr>
          <w:rFonts w:ascii="Arial" w:eastAsia="Times New Roman" w:hAnsi="Arial" w:cs="Arial"/>
          <w:snapToGrid w:val="0"/>
          <w:sz w:val="24"/>
          <w:szCs w:val="24"/>
        </w:rPr>
        <w:t xml:space="preserve"> </w:t>
      </w:r>
      <w:r w:rsidR="00340153" w:rsidRPr="00A53F84">
        <w:rPr>
          <w:rFonts w:ascii="Arial" w:eastAsia="Times New Roman" w:hAnsi="Arial" w:cs="Arial"/>
          <w:snapToGrid w:val="0"/>
          <w:sz w:val="24"/>
          <w:szCs w:val="24"/>
        </w:rPr>
        <w:t>be</w:t>
      </w:r>
      <w:r w:rsidR="00A53F84" w:rsidRPr="00A53F84">
        <w:rPr>
          <w:rFonts w:ascii="Arial" w:eastAsia="Times New Roman" w:hAnsi="Arial" w:cs="Arial"/>
          <w:snapToGrid w:val="0"/>
          <w:sz w:val="24"/>
          <w:szCs w:val="24"/>
        </w:rPr>
        <w:t xml:space="preserve"> to increase</w:t>
      </w:r>
      <w:r w:rsidR="00086559" w:rsidRPr="00A53F84">
        <w:rPr>
          <w:rFonts w:ascii="Arial" w:eastAsia="Times New Roman" w:hAnsi="Arial" w:cs="Arial"/>
          <w:snapToGrid w:val="0"/>
          <w:sz w:val="24"/>
          <w:szCs w:val="24"/>
        </w:rPr>
        <w:t xml:space="preserve"> clinical capacity</w:t>
      </w:r>
      <w:r w:rsidR="002B5E93" w:rsidRPr="00A53F84">
        <w:rPr>
          <w:rFonts w:ascii="Arial" w:eastAsia="Times New Roman" w:hAnsi="Arial" w:cs="Arial"/>
          <w:snapToGrid w:val="0"/>
          <w:sz w:val="24"/>
          <w:szCs w:val="24"/>
        </w:rPr>
        <w:t xml:space="preserve"> across the local footprint</w:t>
      </w:r>
      <w:r w:rsidR="00A53F84" w:rsidRPr="00A53F84">
        <w:rPr>
          <w:rFonts w:ascii="Arial" w:eastAsia="Times New Roman" w:hAnsi="Arial" w:cs="Arial"/>
          <w:snapToGrid w:val="0"/>
          <w:sz w:val="24"/>
          <w:szCs w:val="24"/>
        </w:rPr>
        <w:t xml:space="preserve">; and would be attractive to GPs as it would offer </w:t>
      </w:r>
      <w:r w:rsidR="00A53F84">
        <w:rPr>
          <w:rFonts w:ascii="Arial" w:eastAsia="Times New Roman" w:hAnsi="Arial" w:cs="Arial"/>
          <w:snapToGrid w:val="0"/>
          <w:sz w:val="24"/>
          <w:szCs w:val="24"/>
        </w:rPr>
        <w:t>f</w:t>
      </w:r>
      <w:r w:rsidR="002B5E93" w:rsidRPr="00A53F84">
        <w:rPr>
          <w:rFonts w:ascii="Arial" w:eastAsia="Times New Roman" w:hAnsi="Arial" w:cs="Arial"/>
          <w:snapToGrid w:val="0"/>
          <w:sz w:val="24"/>
          <w:szCs w:val="24"/>
        </w:rPr>
        <w:t xml:space="preserve">inancial support for </w:t>
      </w:r>
      <w:r w:rsidR="00A43449" w:rsidRPr="00A53F84">
        <w:rPr>
          <w:rFonts w:ascii="Arial" w:eastAsia="Times New Roman" w:hAnsi="Arial" w:cs="Arial"/>
          <w:snapToGrid w:val="0"/>
          <w:sz w:val="24"/>
          <w:szCs w:val="24"/>
        </w:rPr>
        <w:t>professional expenses</w:t>
      </w:r>
      <w:r w:rsidR="00F91A82" w:rsidRPr="00A53F84">
        <w:rPr>
          <w:rFonts w:ascii="Arial" w:eastAsia="Times New Roman" w:hAnsi="Arial" w:cs="Arial"/>
          <w:snapToGrid w:val="0"/>
          <w:sz w:val="24"/>
          <w:szCs w:val="24"/>
        </w:rPr>
        <w:t xml:space="preserve"> and CPD </w:t>
      </w:r>
      <w:r w:rsidR="00A53F84">
        <w:rPr>
          <w:rFonts w:ascii="Arial" w:eastAsia="Times New Roman" w:hAnsi="Arial" w:cs="Arial"/>
          <w:snapToGrid w:val="0"/>
          <w:sz w:val="24"/>
          <w:szCs w:val="24"/>
        </w:rPr>
        <w:t xml:space="preserve">and a </w:t>
      </w:r>
      <w:r w:rsidR="00086559" w:rsidRPr="00A53F84">
        <w:rPr>
          <w:rFonts w:ascii="Arial" w:eastAsia="Times New Roman" w:hAnsi="Arial" w:cs="Arial"/>
          <w:snapToGrid w:val="0"/>
          <w:sz w:val="24"/>
          <w:szCs w:val="24"/>
        </w:rPr>
        <w:t xml:space="preserve">portfolio of roles as part of a more flexible way of working. </w:t>
      </w:r>
    </w:p>
    <w:p w:rsidR="00CA3BAF" w:rsidRPr="00375DE0" w:rsidRDefault="001B31B3" w:rsidP="001B31B3">
      <w:pPr>
        <w:rPr>
          <w:rFonts w:ascii="Arial" w:hAnsi="Arial" w:cs="Arial"/>
          <w:b/>
          <w:sz w:val="24"/>
          <w:szCs w:val="24"/>
        </w:rPr>
      </w:pPr>
      <w:r>
        <w:rPr>
          <w:rFonts w:ascii="Arial" w:hAnsi="Arial" w:cs="Arial"/>
          <w:b/>
          <w:sz w:val="24"/>
          <w:szCs w:val="24"/>
        </w:rPr>
        <w:t>Background</w:t>
      </w:r>
    </w:p>
    <w:p w:rsidR="00375DE0" w:rsidRPr="00BB6F65" w:rsidRDefault="00340153" w:rsidP="001B31B3">
      <w:pPr>
        <w:pStyle w:val="ListParagraph"/>
        <w:widowControl w:val="0"/>
        <w:numPr>
          <w:ilvl w:val="0"/>
          <w:numId w:val="9"/>
        </w:numPr>
        <w:spacing w:after="0"/>
        <w:rPr>
          <w:rFonts w:ascii="Arial" w:eastAsia="Times New Roman" w:hAnsi="Arial" w:cs="Arial"/>
          <w:snapToGrid w:val="0"/>
          <w:sz w:val="24"/>
          <w:szCs w:val="24"/>
        </w:rPr>
      </w:pPr>
      <w:r>
        <w:rPr>
          <w:rFonts w:ascii="Arial" w:eastAsia="Times New Roman" w:hAnsi="Arial" w:cs="Arial"/>
          <w:snapToGrid w:val="0"/>
          <w:sz w:val="24"/>
          <w:szCs w:val="24"/>
        </w:rPr>
        <w:t>R</w:t>
      </w:r>
      <w:r w:rsidR="00375DE0" w:rsidRPr="00BB6F65">
        <w:rPr>
          <w:rFonts w:ascii="Arial" w:eastAsia="Times New Roman" w:hAnsi="Arial" w:cs="Arial"/>
          <w:snapToGrid w:val="0"/>
          <w:sz w:val="24"/>
          <w:szCs w:val="24"/>
        </w:rPr>
        <w:t>esearch commissioned (</w:t>
      </w:r>
      <w:r w:rsidR="00C77B28" w:rsidRPr="00BB6F65">
        <w:rPr>
          <w:rFonts w:ascii="Arial" w:eastAsia="Times New Roman" w:hAnsi="Arial" w:cs="Arial"/>
          <w:snapToGrid w:val="0"/>
          <w:sz w:val="24"/>
          <w:szCs w:val="24"/>
        </w:rPr>
        <w:t xml:space="preserve">Ipsos MORI, </w:t>
      </w:r>
      <w:r w:rsidR="00C77B28" w:rsidRPr="00BB6F65">
        <w:rPr>
          <w:rFonts w:ascii="Arial" w:hAnsi="Arial" w:cs="Arial"/>
          <w:sz w:val="24"/>
          <w:szCs w:val="24"/>
        </w:rPr>
        <w:t>PRUComm</w:t>
      </w:r>
      <w:r w:rsidR="001900AC">
        <w:rPr>
          <w:rStyle w:val="FootnoteReference"/>
          <w:rFonts w:ascii="Arial" w:hAnsi="Arial" w:cs="Arial"/>
          <w:sz w:val="24"/>
          <w:szCs w:val="24"/>
        </w:rPr>
        <w:footnoteReference w:id="1"/>
      </w:r>
      <w:r w:rsidR="00C77B28" w:rsidRPr="00BB6F65">
        <w:rPr>
          <w:rFonts w:ascii="Arial" w:eastAsia="Times New Roman" w:hAnsi="Arial" w:cs="Arial"/>
          <w:snapToGrid w:val="0"/>
          <w:sz w:val="24"/>
          <w:szCs w:val="24"/>
        </w:rPr>
        <w:t xml:space="preserve">) </w:t>
      </w:r>
      <w:r w:rsidR="003B0B60" w:rsidRPr="00BB6F65">
        <w:rPr>
          <w:rFonts w:ascii="Arial" w:eastAsia="Times New Roman" w:hAnsi="Arial" w:cs="Arial"/>
          <w:snapToGrid w:val="0"/>
          <w:sz w:val="24"/>
          <w:szCs w:val="24"/>
        </w:rPr>
        <w:t xml:space="preserve">shows </w:t>
      </w:r>
      <w:r w:rsidR="00375DE0" w:rsidRPr="00BB6F65">
        <w:rPr>
          <w:rFonts w:ascii="Arial" w:eastAsia="Times New Roman" w:hAnsi="Arial" w:cs="Arial"/>
          <w:snapToGrid w:val="0"/>
          <w:sz w:val="24"/>
          <w:szCs w:val="24"/>
        </w:rPr>
        <w:t>that a complex combination of factors lead to poor job satisfaction among GPs and push them towards leaving the profession</w:t>
      </w:r>
      <w:r w:rsidR="009915D4" w:rsidRPr="00BB6F65">
        <w:rPr>
          <w:rFonts w:ascii="Arial" w:eastAsia="Times New Roman" w:hAnsi="Arial" w:cs="Arial"/>
          <w:snapToGrid w:val="0"/>
          <w:sz w:val="24"/>
          <w:szCs w:val="24"/>
        </w:rPr>
        <w:t>,</w:t>
      </w:r>
      <w:r w:rsidR="00775FE0" w:rsidRPr="00BB6F65">
        <w:rPr>
          <w:rFonts w:ascii="Arial" w:eastAsia="Times New Roman" w:hAnsi="Arial" w:cs="Arial"/>
          <w:snapToGrid w:val="0"/>
          <w:sz w:val="24"/>
          <w:szCs w:val="24"/>
        </w:rPr>
        <w:t xml:space="preserve"> especially later in their career</w:t>
      </w:r>
      <w:r w:rsidR="00BB6F65">
        <w:rPr>
          <w:rFonts w:ascii="Arial" w:eastAsia="Times New Roman" w:hAnsi="Arial" w:cs="Arial"/>
          <w:snapToGrid w:val="0"/>
          <w:sz w:val="24"/>
          <w:szCs w:val="24"/>
        </w:rPr>
        <w:t xml:space="preserve">. </w:t>
      </w:r>
      <w:r w:rsidR="00A53F84">
        <w:rPr>
          <w:rFonts w:ascii="Arial" w:eastAsia="Times New Roman" w:hAnsi="Arial" w:cs="Arial"/>
          <w:snapToGrid w:val="0"/>
          <w:sz w:val="24"/>
          <w:szCs w:val="24"/>
        </w:rPr>
        <w:t>The five key</w:t>
      </w:r>
      <w:r w:rsidR="00375DE0" w:rsidRPr="00BB6F65">
        <w:rPr>
          <w:rFonts w:ascii="Arial" w:eastAsia="Times New Roman" w:hAnsi="Arial" w:cs="Arial"/>
          <w:snapToGrid w:val="0"/>
          <w:sz w:val="24"/>
          <w:szCs w:val="24"/>
        </w:rPr>
        <w:t xml:space="preserve"> factors include:</w:t>
      </w:r>
    </w:p>
    <w:p w:rsidR="00375DE0" w:rsidRPr="00375DE0" w:rsidRDefault="00375DE0" w:rsidP="001B31B3">
      <w:pPr>
        <w:widowControl w:val="0"/>
        <w:spacing w:after="0"/>
        <w:rPr>
          <w:rFonts w:ascii="Arial" w:eastAsia="Times New Roman" w:hAnsi="Arial" w:cs="Arial"/>
          <w:snapToGrid w:val="0"/>
          <w:sz w:val="24"/>
          <w:szCs w:val="24"/>
        </w:rPr>
      </w:pPr>
    </w:p>
    <w:p w:rsidR="00375DE0" w:rsidRPr="00375DE0" w:rsidRDefault="00241169" w:rsidP="00BB6F65">
      <w:pPr>
        <w:pStyle w:val="ListParagraph"/>
        <w:widowControl w:val="0"/>
        <w:numPr>
          <w:ilvl w:val="0"/>
          <w:numId w:val="11"/>
        </w:numPr>
        <w:spacing w:after="0"/>
        <w:rPr>
          <w:rFonts w:ascii="Arial" w:eastAsia="Times New Roman" w:hAnsi="Arial" w:cs="Arial"/>
          <w:snapToGrid w:val="0"/>
          <w:sz w:val="24"/>
          <w:szCs w:val="24"/>
        </w:rPr>
      </w:pPr>
      <w:r>
        <w:rPr>
          <w:rFonts w:ascii="Arial" w:eastAsia="Times New Roman" w:hAnsi="Arial" w:cs="Arial"/>
          <w:snapToGrid w:val="0"/>
          <w:sz w:val="24"/>
          <w:szCs w:val="24"/>
        </w:rPr>
        <w:t>workload</w:t>
      </w:r>
      <w:r w:rsidR="00A53F84">
        <w:rPr>
          <w:rFonts w:ascii="Arial" w:eastAsia="Times New Roman" w:hAnsi="Arial" w:cs="Arial"/>
          <w:snapToGrid w:val="0"/>
          <w:sz w:val="24"/>
          <w:szCs w:val="24"/>
        </w:rPr>
        <w:t xml:space="preserve"> </w:t>
      </w:r>
    </w:p>
    <w:p w:rsidR="00375DE0" w:rsidRPr="00375DE0" w:rsidRDefault="00340153" w:rsidP="00BB6F65">
      <w:pPr>
        <w:pStyle w:val="ListParagraph"/>
        <w:widowControl w:val="0"/>
        <w:numPr>
          <w:ilvl w:val="0"/>
          <w:numId w:val="11"/>
        </w:numPr>
        <w:spacing w:after="0"/>
        <w:rPr>
          <w:rFonts w:ascii="Arial" w:eastAsia="Times New Roman" w:hAnsi="Arial" w:cs="Arial"/>
          <w:snapToGrid w:val="0"/>
          <w:sz w:val="24"/>
          <w:szCs w:val="24"/>
        </w:rPr>
      </w:pPr>
      <w:r>
        <w:rPr>
          <w:rFonts w:ascii="Arial" w:eastAsia="Times New Roman" w:hAnsi="Arial" w:cs="Arial"/>
          <w:snapToGrid w:val="0"/>
          <w:sz w:val="24"/>
          <w:szCs w:val="24"/>
        </w:rPr>
        <w:t>r</w:t>
      </w:r>
      <w:r w:rsidR="00375DE0" w:rsidRPr="00375DE0">
        <w:rPr>
          <w:rFonts w:ascii="Arial" w:eastAsia="Times New Roman" w:hAnsi="Arial" w:cs="Arial"/>
          <w:snapToGrid w:val="0"/>
          <w:sz w:val="24"/>
          <w:szCs w:val="24"/>
        </w:rPr>
        <w:t xml:space="preserve">emuneration </w:t>
      </w:r>
      <w:r w:rsidR="00A53F84">
        <w:rPr>
          <w:rFonts w:ascii="Arial" w:eastAsia="Times New Roman" w:hAnsi="Arial" w:cs="Arial"/>
          <w:snapToGrid w:val="0"/>
          <w:sz w:val="24"/>
          <w:szCs w:val="24"/>
        </w:rPr>
        <w:t>(and the impact of pension changes)</w:t>
      </w:r>
    </w:p>
    <w:p w:rsidR="00375DE0" w:rsidRPr="00375DE0" w:rsidRDefault="00A53F84" w:rsidP="00BB6F65">
      <w:pPr>
        <w:pStyle w:val="ListParagraph"/>
        <w:widowControl w:val="0"/>
        <w:numPr>
          <w:ilvl w:val="0"/>
          <w:numId w:val="11"/>
        </w:numPr>
        <w:spacing w:after="0"/>
        <w:rPr>
          <w:rFonts w:ascii="Arial" w:eastAsia="Times New Roman" w:hAnsi="Arial" w:cs="Arial"/>
          <w:snapToGrid w:val="0"/>
          <w:sz w:val="24"/>
          <w:szCs w:val="24"/>
        </w:rPr>
      </w:pPr>
      <w:r>
        <w:rPr>
          <w:rFonts w:ascii="Arial" w:eastAsia="Times New Roman" w:hAnsi="Arial" w:cs="Arial"/>
          <w:snapToGrid w:val="0"/>
          <w:sz w:val="24"/>
          <w:szCs w:val="24"/>
        </w:rPr>
        <w:t xml:space="preserve">perceived </w:t>
      </w:r>
      <w:r w:rsidR="00340153">
        <w:rPr>
          <w:rFonts w:ascii="Arial" w:eastAsia="Times New Roman" w:hAnsi="Arial" w:cs="Arial"/>
          <w:snapToGrid w:val="0"/>
          <w:sz w:val="24"/>
          <w:szCs w:val="24"/>
        </w:rPr>
        <w:t>l</w:t>
      </w:r>
      <w:r w:rsidR="00375DE0" w:rsidRPr="00375DE0">
        <w:rPr>
          <w:rFonts w:ascii="Arial" w:eastAsia="Times New Roman" w:hAnsi="Arial" w:cs="Arial"/>
          <w:snapToGrid w:val="0"/>
          <w:sz w:val="24"/>
          <w:szCs w:val="24"/>
        </w:rPr>
        <w:t xml:space="preserve">ack of </w:t>
      </w:r>
      <w:r w:rsidR="00B143D6">
        <w:rPr>
          <w:rFonts w:ascii="Arial" w:eastAsia="Times New Roman" w:hAnsi="Arial" w:cs="Arial"/>
          <w:snapToGrid w:val="0"/>
          <w:sz w:val="24"/>
          <w:szCs w:val="24"/>
        </w:rPr>
        <w:t>re</w:t>
      </w:r>
      <w:r w:rsidR="00375DE0" w:rsidRPr="00375DE0">
        <w:rPr>
          <w:rFonts w:ascii="Arial" w:eastAsia="Times New Roman" w:hAnsi="Arial" w:cs="Arial"/>
          <w:snapToGrid w:val="0"/>
          <w:sz w:val="24"/>
          <w:szCs w:val="24"/>
        </w:rPr>
        <w:t xml:space="preserve">cognition </w:t>
      </w:r>
      <w:r>
        <w:rPr>
          <w:rFonts w:ascii="Arial" w:eastAsia="Times New Roman" w:hAnsi="Arial" w:cs="Arial"/>
          <w:snapToGrid w:val="0"/>
          <w:sz w:val="24"/>
          <w:szCs w:val="24"/>
        </w:rPr>
        <w:t>(</w:t>
      </w:r>
      <w:r w:rsidR="00375DE0" w:rsidRPr="00375DE0">
        <w:rPr>
          <w:rFonts w:ascii="Arial" w:eastAsia="Times New Roman" w:hAnsi="Arial" w:cs="Arial"/>
          <w:snapToGrid w:val="0"/>
          <w:sz w:val="24"/>
          <w:szCs w:val="24"/>
        </w:rPr>
        <w:t>from patients</w:t>
      </w:r>
      <w:r>
        <w:rPr>
          <w:rFonts w:ascii="Arial" w:eastAsia="Times New Roman" w:hAnsi="Arial" w:cs="Arial"/>
          <w:snapToGrid w:val="0"/>
          <w:sz w:val="24"/>
          <w:szCs w:val="24"/>
        </w:rPr>
        <w:t>, Government and indeed within the medical profession)</w:t>
      </w:r>
    </w:p>
    <w:p w:rsidR="00635B55" w:rsidRPr="00635B55" w:rsidRDefault="00340153" w:rsidP="00BB6F65">
      <w:pPr>
        <w:pStyle w:val="ListParagraph"/>
        <w:widowControl w:val="0"/>
        <w:numPr>
          <w:ilvl w:val="0"/>
          <w:numId w:val="11"/>
        </w:numPr>
        <w:spacing w:after="0"/>
        <w:rPr>
          <w:rFonts w:ascii="Arial" w:eastAsia="Times New Roman" w:hAnsi="Arial" w:cs="Arial"/>
          <w:snapToGrid w:val="0"/>
          <w:sz w:val="24"/>
          <w:szCs w:val="24"/>
        </w:rPr>
      </w:pPr>
      <w:r>
        <w:rPr>
          <w:rFonts w:ascii="Arial" w:eastAsia="Times New Roman" w:hAnsi="Arial" w:cs="Arial"/>
          <w:snapToGrid w:val="0"/>
          <w:sz w:val="24"/>
          <w:szCs w:val="24"/>
        </w:rPr>
        <w:t>i</w:t>
      </w:r>
      <w:r w:rsidR="00375DE0" w:rsidRPr="00375DE0">
        <w:rPr>
          <w:rFonts w:ascii="Arial" w:eastAsia="Times New Roman" w:hAnsi="Arial" w:cs="Arial"/>
          <w:snapToGrid w:val="0"/>
          <w:sz w:val="24"/>
          <w:szCs w:val="24"/>
        </w:rPr>
        <w:t>ncreasing bureaucracy</w:t>
      </w:r>
      <w:r w:rsidR="00635B55">
        <w:rPr>
          <w:rFonts w:ascii="Arial" w:eastAsia="Times New Roman" w:hAnsi="Arial" w:cs="Arial"/>
          <w:snapToGrid w:val="0"/>
          <w:sz w:val="24"/>
          <w:szCs w:val="24"/>
        </w:rPr>
        <w:t xml:space="preserve"> and indemnity costs</w:t>
      </w:r>
    </w:p>
    <w:p w:rsidR="00375DE0" w:rsidRPr="00375DE0" w:rsidRDefault="00340153" w:rsidP="00BB6F65">
      <w:pPr>
        <w:pStyle w:val="ListParagraph"/>
        <w:widowControl w:val="0"/>
        <w:numPr>
          <w:ilvl w:val="0"/>
          <w:numId w:val="11"/>
        </w:numPr>
        <w:spacing w:after="0"/>
        <w:rPr>
          <w:rFonts w:ascii="Arial" w:eastAsia="Times New Roman" w:hAnsi="Arial" w:cs="Arial"/>
          <w:snapToGrid w:val="0"/>
          <w:sz w:val="24"/>
          <w:szCs w:val="24"/>
        </w:rPr>
      </w:pPr>
      <w:r>
        <w:rPr>
          <w:rFonts w:ascii="Arial" w:eastAsia="Times New Roman" w:hAnsi="Arial" w:cs="Arial"/>
          <w:snapToGrid w:val="0"/>
          <w:sz w:val="24"/>
          <w:szCs w:val="24"/>
        </w:rPr>
        <w:t>l</w:t>
      </w:r>
      <w:r w:rsidR="00375DE0" w:rsidRPr="00375DE0">
        <w:rPr>
          <w:rFonts w:ascii="Arial" w:eastAsia="Times New Roman" w:hAnsi="Arial" w:cs="Arial"/>
          <w:snapToGrid w:val="0"/>
          <w:sz w:val="24"/>
          <w:szCs w:val="24"/>
        </w:rPr>
        <w:t>ack of peer support</w:t>
      </w:r>
      <w:r>
        <w:rPr>
          <w:rFonts w:ascii="Arial" w:eastAsia="Times New Roman" w:hAnsi="Arial" w:cs="Arial"/>
          <w:snapToGrid w:val="0"/>
          <w:sz w:val="24"/>
          <w:szCs w:val="24"/>
        </w:rPr>
        <w:t>.</w:t>
      </w:r>
    </w:p>
    <w:p w:rsidR="00375DE0" w:rsidRPr="00375DE0" w:rsidRDefault="00375DE0" w:rsidP="001B31B3">
      <w:pPr>
        <w:widowControl w:val="0"/>
        <w:spacing w:after="0"/>
        <w:rPr>
          <w:rFonts w:ascii="Arial" w:eastAsia="Times New Roman" w:hAnsi="Arial" w:cs="Arial"/>
          <w:snapToGrid w:val="0"/>
          <w:sz w:val="24"/>
          <w:szCs w:val="24"/>
        </w:rPr>
      </w:pPr>
    </w:p>
    <w:p w:rsidR="00241169" w:rsidRDefault="00241169" w:rsidP="00BB6F65">
      <w:pPr>
        <w:pStyle w:val="ListParagraph"/>
        <w:widowControl w:val="0"/>
        <w:numPr>
          <w:ilvl w:val="0"/>
          <w:numId w:val="9"/>
        </w:numPr>
        <w:spacing w:after="0"/>
        <w:rPr>
          <w:rFonts w:ascii="Arial" w:eastAsia="Times New Roman" w:hAnsi="Arial" w:cs="Arial"/>
          <w:snapToGrid w:val="0"/>
          <w:sz w:val="24"/>
          <w:szCs w:val="24"/>
        </w:rPr>
      </w:pPr>
      <w:r>
        <w:rPr>
          <w:rFonts w:ascii="Arial" w:eastAsia="Times New Roman" w:hAnsi="Arial" w:cs="Arial"/>
          <w:snapToGrid w:val="0"/>
          <w:sz w:val="24"/>
          <w:szCs w:val="24"/>
        </w:rPr>
        <w:t xml:space="preserve">We have a number of concrete actions in the General Practice Forward View designed to tackle most of these issues (save </w:t>
      </w:r>
      <w:r w:rsidR="00AD2D9B">
        <w:rPr>
          <w:rFonts w:ascii="Arial" w:eastAsia="Times New Roman" w:hAnsi="Arial" w:cs="Arial"/>
          <w:snapToGrid w:val="0"/>
          <w:sz w:val="24"/>
          <w:szCs w:val="24"/>
        </w:rPr>
        <w:t xml:space="preserve">personal </w:t>
      </w:r>
      <w:r>
        <w:rPr>
          <w:rFonts w:ascii="Arial" w:eastAsia="Times New Roman" w:hAnsi="Arial" w:cs="Arial"/>
          <w:snapToGrid w:val="0"/>
          <w:sz w:val="24"/>
          <w:szCs w:val="24"/>
        </w:rPr>
        <w:t>remuneration and pensions).   This includes things like the £30m GP provider development programme, which supports practices make ten high impact changes to manage their workload better, and improve patient and staff satisfaction whilst doing so.  We can provide further detail on this if necessary.</w:t>
      </w:r>
    </w:p>
    <w:p w:rsidR="00241169" w:rsidRDefault="00241169" w:rsidP="00241169">
      <w:pPr>
        <w:pStyle w:val="ListParagraph"/>
        <w:widowControl w:val="0"/>
        <w:spacing w:after="0"/>
        <w:rPr>
          <w:rFonts w:ascii="Arial" w:eastAsia="Times New Roman" w:hAnsi="Arial" w:cs="Arial"/>
          <w:snapToGrid w:val="0"/>
          <w:sz w:val="24"/>
          <w:szCs w:val="24"/>
        </w:rPr>
      </w:pPr>
    </w:p>
    <w:p w:rsidR="00241169" w:rsidRDefault="00241169" w:rsidP="001B31B3">
      <w:pPr>
        <w:pStyle w:val="ListParagraph"/>
        <w:widowControl w:val="0"/>
        <w:numPr>
          <w:ilvl w:val="0"/>
          <w:numId w:val="9"/>
        </w:numPr>
        <w:spacing w:after="0"/>
        <w:rPr>
          <w:rFonts w:ascii="Arial" w:eastAsia="Times New Roman" w:hAnsi="Arial" w:cs="Arial"/>
          <w:snapToGrid w:val="0"/>
          <w:sz w:val="24"/>
          <w:szCs w:val="24"/>
        </w:rPr>
      </w:pPr>
      <w:r w:rsidRPr="00241169">
        <w:rPr>
          <w:rFonts w:ascii="Arial" w:eastAsia="Times New Roman" w:hAnsi="Arial" w:cs="Arial"/>
          <w:snapToGrid w:val="0"/>
          <w:sz w:val="24"/>
          <w:szCs w:val="24"/>
        </w:rPr>
        <w:t xml:space="preserve">But we know that we have a particular challenge with older doctors (see below), and so also believe we need a more targeted approach – but one that </w:t>
      </w:r>
      <w:r w:rsidRPr="00241169">
        <w:rPr>
          <w:rFonts w:ascii="Arial" w:eastAsia="Times New Roman" w:hAnsi="Arial" w:cs="Arial"/>
          <w:snapToGrid w:val="0"/>
          <w:sz w:val="24"/>
          <w:szCs w:val="24"/>
        </w:rPr>
        <w:lastRenderedPageBreak/>
        <w:t xml:space="preserve">is compliant with age discrimination legislation.  </w:t>
      </w:r>
    </w:p>
    <w:p w:rsidR="00241169" w:rsidRPr="00241169" w:rsidRDefault="00241169" w:rsidP="00241169">
      <w:pPr>
        <w:pStyle w:val="ListParagraph"/>
        <w:rPr>
          <w:rFonts w:ascii="Arial" w:eastAsia="Times New Roman" w:hAnsi="Arial" w:cs="Arial"/>
          <w:snapToGrid w:val="0"/>
          <w:sz w:val="24"/>
          <w:szCs w:val="24"/>
        </w:rPr>
      </w:pPr>
    </w:p>
    <w:p w:rsidR="00445CF2" w:rsidRPr="00241169" w:rsidRDefault="00241169" w:rsidP="00241169">
      <w:pPr>
        <w:pStyle w:val="ListParagraph"/>
        <w:widowControl w:val="0"/>
        <w:spacing w:after="0"/>
        <w:rPr>
          <w:rFonts w:ascii="Arial" w:eastAsia="Times New Roman" w:hAnsi="Arial" w:cs="Arial"/>
          <w:snapToGrid w:val="0"/>
          <w:sz w:val="24"/>
          <w:szCs w:val="24"/>
        </w:rPr>
      </w:pPr>
      <w:r w:rsidRPr="00241169">
        <w:rPr>
          <w:rFonts w:ascii="Arial" w:eastAsia="Times New Roman" w:hAnsi="Arial" w:cs="Arial"/>
          <w:snapToGrid w:val="0"/>
          <w:sz w:val="24"/>
          <w:szCs w:val="24"/>
        </w:rPr>
        <w:t xml:space="preserve"> </w:t>
      </w:r>
    </w:p>
    <w:p w:rsidR="00445CF2" w:rsidRPr="00445CF2" w:rsidRDefault="00445CF2" w:rsidP="002B5E93">
      <w:pPr>
        <w:rPr>
          <w:rFonts w:ascii="Arial" w:eastAsia="Times New Roman" w:hAnsi="Arial" w:cs="Arial"/>
          <w:b/>
          <w:snapToGrid w:val="0"/>
          <w:sz w:val="24"/>
          <w:szCs w:val="20"/>
        </w:rPr>
      </w:pPr>
      <w:r w:rsidRPr="00445CF2">
        <w:rPr>
          <w:rFonts w:ascii="Arial" w:eastAsia="Times New Roman" w:hAnsi="Arial" w:cs="Arial"/>
          <w:b/>
          <w:snapToGrid w:val="0"/>
          <w:sz w:val="24"/>
          <w:szCs w:val="20"/>
        </w:rPr>
        <w:t>Percentage leavers comparison (all) based on age group – 2004 and 2014</w:t>
      </w:r>
    </w:p>
    <w:p w:rsidR="00445CF2" w:rsidRPr="00445CF2" w:rsidRDefault="00445CF2" w:rsidP="00445CF2">
      <w:pPr>
        <w:widowControl w:val="0"/>
        <w:spacing w:after="0" w:line="240" w:lineRule="auto"/>
        <w:jc w:val="center"/>
        <w:rPr>
          <w:rFonts w:ascii="Arial" w:eastAsia="Times New Roman" w:hAnsi="Arial" w:cs="Arial"/>
          <w:snapToGrid w:val="0"/>
          <w:sz w:val="24"/>
          <w:szCs w:val="20"/>
        </w:rPr>
      </w:pPr>
      <w:r w:rsidRPr="00445CF2">
        <w:rPr>
          <w:rFonts w:ascii="Arial" w:eastAsia="Times New Roman" w:hAnsi="Arial" w:cs="Arial"/>
          <w:noProof/>
          <w:snapToGrid w:val="0"/>
          <w:sz w:val="24"/>
          <w:szCs w:val="20"/>
          <w:lang w:eastAsia="en-GB"/>
        </w:rPr>
        <w:drawing>
          <wp:inline distT="0" distB="0" distL="0" distR="0" wp14:anchorId="17263434" wp14:editId="2FAD6BBC">
            <wp:extent cx="5011387" cy="2220686"/>
            <wp:effectExtent l="0" t="0" r="18415"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5CF2" w:rsidRPr="00445CF2" w:rsidRDefault="00445CF2" w:rsidP="00445CF2">
      <w:pPr>
        <w:widowControl w:val="0"/>
        <w:spacing w:after="0" w:line="240" w:lineRule="auto"/>
        <w:rPr>
          <w:rFonts w:ascii="Arial" w:eastAsia="Times New Roman" w:hAnsi="Arial" w:cs="Arial"/>
          <w:snapToGrid w:val="0"/>
          <w:sz w:val="16"/>
          <w:szCs w:val="20"/>
          <w:lang w:eastAsia="en-GB"/>
        </w:rPr>
      </w:pPr>
      <w:r w:rsidRPr="00445CF2">
        <w:rPr>
          <w:rFonts w:ascii="Arial" w:eastAsiaTheme="minorEastAsia" w:hAnsi="Arial" w:cs="Arial"/>
          <w:snapToGrid w:val="0"/>
          <w:color w:val="000000" w:themeColor="text1"/>
          <w:kern w:val="24"/>
          <w:sz w:val="16"/>
          <w:szCs w:val="20"/>
          <w:lang w:eastAsia="en-GB"/>
        </w:rPr>
        <w:t>Source: HSCIC General and Personal Medical Services, England 2004-2014, as at 30 Sept</w:t>
      </w:r>
      <w:r>
        <w:rPr>
          <w:rFonts w:ascii="Arial" w:eastAsiaTheme="minorEastAsia" w:hAnsi="Arial" w:cs="Arial"/>
          <w:snapToGrid w:val="0"/>
          <w:color w:val="000000" w:themeColor="text1"/>
          <w:kern w:val="24"/>
          <w:sz w:val="16"/>
          <w:szCs w:val="20"/>
          <w:lang w:eastAsia="en-GB"/>
        </w:rPr>
        <w:t xml:space="preserve">ember. </w:t>
      </w:r>
    </w:p>
    <w:p w:rsidR="00445CF2" w:rsidRDefault="00445CF2" w:rsidP="001B31B3">
      <w:pPr>
        <w:widowControl w:val="0"/>
        <w:spacing w:after="0"/>
        <w:rPr>
          <w:rFonts w:ascii="Arial" w:eastAsia="Times New Roman" w:hAnsi="Arial" w:cs="Arial"/>
          <w:snapToGrid w:val="0"/>
          <w:sz w:val="24"/>
          <w:szCs w:val="24"/>
        </w:rPr>
      </w:pPr>
    </w:p>
    <w:p w:rsidR="002B5E93" w:rsidRPr="00BB6F65" w:rsidRDefault="002B5E93" w:rsidP="00BB6F65">
      <w:pPr>
        <w:pStyle w:val="ListParagraph"/>
        <w:widowControl w:val="0"/>
        <w:numPr>
          <w:ilvl w:val="0"/>
          <w:numId w:val="9"/>
        </w:numPr>
        <w:spacing w:after="0"/>
        <w:rPr>
          <w:rFonts w:ascii="Arial" w:eastAsia="Times New Roman" w:hAnsi="Arial" w:cs="Arial"/>
          <w:snapToGrid w:val="0"/>
          <w:sz w:val="24"/>
          <w:szCs w:val="24"/>
        </w:rPr>
      </w:pPr>
      <w:r w:rsidRPr="00BB6F65">
        <w:rPr>
          <w:rFonts w:ascii="Arial" w:eastAsia="Times New Roman" w:hAnsi="Arial" w:cs="Arial"/>
          <w:snapToGrid w:val="0"/>
          <w:sz w:val="24"/>
          <w:szCs w:val="24"/>
        </w:rPr>
        <w:t>T</w:t>
      </w:r>
      <w:r w:rsidR="00241169">
        <w:rPr>
          <w:rFonts w:ascii="Arial" w:eastAsia="Times New Roman" w:hAnsi="Arial" w:cs="Arial"/>
          <w:snapToGrid w:val="0"/>
          <w:sz w:val="24"/>
          <w:szCs w:val="24"/>
        </w:rPr>
        <w:t>he t</w:t>
      </w:r>
      <w:r w:rsidRPr="00BB6F65">
        <w:rPr>
          <w:rFonts w:ascii="Arial" w:eastAsia="Times New Roman" w:hAnsi="Arial" w:cs="Arial"/>
          <w:snapToGrid w:val="0"/>
          <w:sz w:val="24"/>
          <w:szCs w:val="24"/>
        </w:rPr>
        <w:t xml:space="preserve">able </w:t>
      </w:r>
      <w:r w:rsidR="00F91A82" w:rsidRPr="00BB6F65">
        <w:rPr>
          <w:rFonts w:ascii="Arial" w:eastAsia="Times New Roman" w:hAnsi="Arial" w:cs="Arial"/>
          <w:snapToGrid w:val="0"/>
          <w:sz w:val="24"/>
          <w:szCs w:val="24"/>
        </w:rPr>
        <w:t xml:space="preserve">above </w:t>
      </w:r>
      <w:r w:rsidR="00340153">
        <w:rPr>
          <w:rFonts w:ascii="Arial" w:eastAsia="Times New Roman" w:hAnsi="Arial" w:cs="Arial"/>
          <w:snapToGrid w:val="0"/>
          <w:sz w:val="24"/>
          <w:szCs w:val="24"/>
        </w:rPr>
        <w:t>s</w:t>
      </w:r>
      <w:r w:rsidR="00BB6F65">
        <w:rPr>
          <w:rFonts w:ascii="Arial" w:eastAsia="Times New Roman" w:hAnsi="Arial" w:cs="Arial"/>
          <w:snapToGrid w:val="0"/>
          <w:sz w:val="24"/>
          <w:szCs w:val="24"/>
        </w:rPr>
        <w:t>how</w:t>
      </w:r>
      <w:r w:rsidR="00340153">
        <w:rPr>
          <w:rFonts w:ascii="Arial" w:eastAsia="Times New Roman" w:hAnsi="Arial" w:cs="Arial"/>
          <w:snapToGrid w:val="0"/>
          <w:sz w:val="24"/>
          <w:szCs w:val="24"/>
        </w:rPr>
        <w:t>s</w:t>
      </w:r>
      <w:r w:rsidRPr="00BB6F65">
        <w:rPr>
          <w:rFonts w:ascii="Arial" w:eastAsia="Times New Roman" w:hAnsi="Arial" w:cs="Arial"/>
          <w:snapToGrid w:val="0"/>
          <w:sz w:val="24"/>
          <w:szCs w:val="24"/>
        </w:rPr>
        <w:t xml:space="preserve"> that the number of GPs leaving the profession has risen sharply over the last 10 years for those aged 50 and over. The number of GPs between 55 and 59 who left the profession increased considerably from 243 in 2004 to 697 in 2014.</w:t>
      </w:r>
      <w:r w:rsidR="00340153">
        <w:rPr>
          <w:rFonts w:ascii="Arial" w:eastAsia="Times New Roman" w:hAnsi="Arial" w:cs="Arial"/>
          <w:snapToGrid w:val="0"/>
          <w:sz w:val="24"/>
          <w:szCs w:val="24"/>
        </w:rPr>
        <w:t xml:space="preserve"> Thi</w:t>
      </w:r>
      <w:r w:rsidR="00370B70">
        <w:rPr>
          <w:rFonts w:ascii="Arial" w:eastAsia="Times New Roman" w:hAnsi="Arial" w:cs="Arial"/>
          <w:snapToGrid w:val="0"/>
          <w:sz w:val="24"/>
          <w:szCs w:val="24"/>
        </w:rPr>
        <w:t xml:space="preserve">s is </w:t>
      </w:r>
      <w:r w:rsidR="00241169">
        <w:rPr>
          <w:rFonts w:ascii="Arial" w:eastAsia="Times New Roman" w:hAnsi="Arial" w:cs="Arial"/>
          <w:snapToGrid w:val="0"/>
          <w:sz w:val="24"/>
          <w:szCs w:val="24"/>
        </w:rPr>
        <w:t xml:space="preserve">nearly a trebling in the proportion of doctors leaving at this age.   </w:t>
      </w:r>
    </w:p>
    <w:p w:rsidR="002B5E93" w:rsidRDefault="002B5E93" w:rsidP="002B5E93">
      <w:pPr>
        <w:widowControl w:val="0"/>
        <w:spacing w:after="0"/>
        <w:rPr>
          <w:rFonts w:ascii="Arial" w:eastAsia="Times New Roman" w:hAnsi="Arial" w:cs="Arial"/>
          <w:snapToGrid w:val="0"/>
          <w:sz w:val="24"/>
          <w:szCs w:val="24"/>
        </w:rPr>
      </w:pPr>
    </w:p>
    <w:p w:rsidR="00090A2F" w:rsidRPr="00BB6F65" w:rsidRDefault="00F8001C" w:rsidP="00BB6F65">
      <w:pPr>
        <w:pStyle w:val="ListParagraph"/>
        <w:widowControl w:val="0"/>
        <w:numPr>
          <w:ilvl w:val="0"/>
          <w:numId w:val="9"/>
        </w:numPr>
        <w:spacing w:after="0"/>
        <w:rPr>
          <w:rFonts w:ascii="Arial" w:eastAsia="Times New Roman" w:hAnsi="Arial" w:cs="Arial"/>
          <w:snapToGrid w:val="0"/>
          <w:sz w:val="24"/>
          <w:szCs w:val="24"/>
          <w:lang w:eastAsia="en-GB"/>
        </w:rPr>
      </w:pPr>
      <w:r w:rsidRPr="00BB6F65">
        <w:rPr>
          <w:rFonts w:ascii="Arial" w:eastAsia="Times New Roman" w:hAnsi="Arial" w:cs="Arial"/>
          <w:snapToGrid w:val="0"/>
          <w:sz w:val="24"/>
          <w:szCs w:val="24"/>
        </w:rPr>
        <w:t>T</w:t>
      </w:r>
      <w:r w:rsidR="00375DE0" w:rsidRPr="00BB6F65">
        <w:rPr>
          <w:rFonts w:ascii="Arial" w:eastAsia="Times New Roman" w:hAnsi="Arial" w:cs="Arial"/>
          <w:snapToGrid w:val="0"/>
          <w:sz w:val="24"/>
          <w:szCs w:val="24"/>
        </w:rPr>
        <w:t>he appetite for portfolio caree</w:t>
      </w:r>
      <w:r w:rsidRPr="00BB6F65">
        <w:rPr>
          <w:rFonts w:ascii="Arial" w:eastAsia="Times New Roman" w:hAnsi="Arial" w:cs="Arial"/>
          <w:snapToGrid w:val="0"/>
          <w:sz w:val="24"/>
          <w:szCs w:val="24"/>
        </w:rPr>
        <w:t>rs among GPs of retirement age is</w:t>
      </w:r>
      <w:r w:rsidR="00C77B28" w:rsidRPr="00BB6F65">
        <w:rPr>
          <w:rFonts w:ascii="Arial" w:eastAsia="Times New Roman" w:hAnsi="Arial" w:cs="Arial"/>
          <w:snapToGrid w:val="0"/>
          <w:sz w:val="24"/>
          <w:szCs w:val="24"/>
        </w:rPr>
        <w:t xml:space="preserve"> </w:t>
      </w:r>
      <w:r w:rsidR="00375DE0" w:rsidRPr="00BB6F65">
        <w:rPr>
          <w:rFonts w:ascii="Arial" w:eastAsia="Times New Roman" w:hAnsi="Arial" w:cs="Arial"/>
          <w:snapToGrid w:val="0"/>
          <w:sz w:val="24"/>
          <w:szCs w:val="24"/>
        </w:rPr>
        <w:t>high</w:t>
      </w:r>
      <w:r w:rsidR="00C77B28" w:rsidRPr="00BB6F65">
        <w:rPr>
          <w:rFonts w:ascii="Arial" w:eastAsia="Times New Roman" w:hAnsi="Arial" w:cs="Arial"/>
          <w:snapToGrid w:val="0"/>
          <w:sz w:val="24"/>
          <w:szCs w:val="24"/>
        </w:rPr>
        <w:t xml:space="preserve">, </w:t>
      </w:r>
      <w:r w:rsidR="00375DE0" w:rsidRPr="00BB6F65">
        <w:rPr>
          <w:rFonts w:ascii="Arial" w:eastAsia="Times New Roman" w:hAnsi="Arial" w:cs="Arial"/>
          <w:snapToGrid w:val="0"/>
          <w:sz w:val="24"/>
          <w:szCs w:val="24"/>
        </w:rPr>
        <w:t xml:space="preserve">with many retiring to work on a </w:t>
      </w:r>
      <w:r w:rsidR="00375DE0" w:rsidRPr="00BB6F65">
        <w:rPr>
          <w:rFonts w:ascii="Arial" w:eastAsia="Times New Roman" w:hAnsi="Arial" w:cs="Arial"/>
          <w:snapToGrid w:val="0"/>
          <w:sz w:val="24"/>
          <w:szCs w:val="24"/>
          <w:lang w:eastAsia="en-GB"/>
        </w:rPr>
        <w:t>loc</w:t>
      </w:r>
      <w:r w:rsidR="00375DE0" w:rsidRPr="00BB6F65">
        <w:rPr>
          <w:rFonts w:ascii="Arial" w:eastAsia="Times New Roman" w:hAnsi="Arial" w:cs="Arial"/>
          <w:snapToGrid w:val="0"/>
          <w:sz w:val="24"/>
          <w:szCs w:val="24"/>
        </w:rPr>
        <w:t xml:space="preserve">um basis and </w:t>
      </w:r>
      <w:r w:rsidRPr="00BB6F65">
        <w:rPr>
          <w:rFonts w:ascii="Arial" w:eastAsia="Times New Roman" w:hAnsi="Arial" w:cs="Arial"/>
          <w:snapToGrid w:val="0"/>
          <w:sz w:val="24"/>
          <w:szCs w:val="24"/>
          <w:lang w:eastAsia="en-GB"/>
        </w:rPr>
        <w:t>combining</w:t>
      </w:r>
      <w:r w:rsidR="00375DE0" w:rsidRPr="00BB6F65">
        <w:rPr>
          <w:rFonts w:ascii="Arial" w:eastAsia="Times New Roman" w:hAnsi="Arial" w:cs="Arial"/>
          <w:snapToGrid w:val="0"/>
          <w:sz w:val="24"/>
          <w:szCs w:val="24"/>
          <w:lang w:eastAsia="en-GB"/>
        </w:rPr>
        <w:t xml:space="preserve"> their time with other jobs such as teaching</w:t>
      </w:r>
      <w:r w:rsidR="00A32490">
        <w:rPr>
          <w:rStyle w:val="FootnoteReference"/>
          <w:rFonts w:ascii="Arial" w:eastAsia="Times New Roman" w:hAnsi="Arial" w:cs="Arial"/>
          <w:snapToGrid w:val="0"/>
          <w:sz w:val="24"/>
          <w:szCs w:val="24"/>
          <w:lang w:eastAsia="en-GB"/>
        </w:rPr>
        <w:footnoteReference w:id="2"/>
      </w:r>
      <w:r w:rsidR="00A32490" w:rsidRPr="00BB6F65">
        <w:rPr>
          <w:rFonts w:ascii="Arial" w:eastAsia="Times New Roman" w:hAnsi="Arial" w:cs="Arial"/>
          <w:snapToGrid w:val="0"/>
          <w:sz w:val="24"/>
          <w:szCs w:val="24"/>
          <w:lang w:eastAsia="en-GB"/>
        </w:rPr>
        <w:t>.</w:t>
      </w:r>
    </w:p>
    <w:p w:rsidR="00090A2F" w:rsidRDefault="00090A2F" w:rsidP="001B31B3">
      <w:pPr>
        <w:widowControl w:val="0"/>
        <w:spacing w:after="0"/>
        <w:rPr>
          <w:rFonts w:ascii="Arial" w:eastAsia="Times New Roman" w:hAnsi="Arial" w:cs="Arial"/>
          <w:snapToGrid w:val="0"/>
          <w:sz w:val="24"/>
          <w:szCs w:val="24"/>
          <w:lang w:eastAsia="en-GB"/>
        </w:rPr>
      </w:pPr>
    </w:p>
    <w:p w:rsidR="00375DE0" w:rsidRPr="00BB6F65" w:rsidRDefault="00241169" w:rsidP="00BB6F65">
      <w:pPr>
        <w:pStyle w:val="ListParagraph"/>
        <w:widowControl w:val="0"/>
        <w:numPr>
          <w:ilvl w:val="0"/>
          <w:numId w:val="9"/>
        </w:numPr>
        <w:spacing w:after="0"/>
        <w:rPr>
          <w:rFonts w:ascii="Arial" w:eastAsia="Times New Roman" w:hAnsi="Arial" w:cs="Arial"/>
          <w:snapToGrid w:val="0"/>
          <w:sz w:val="24"/>
          <w:szCs w:val="24"/>
        </w:rPr>
      </w:pPr>
      <w:r>
        <w:rPr>
          <w:rFonts w:ascii="Arial" w:eastAsia="Times New Roman" w:hAnsi="Arial" w:cs="Arial"/>
          <w:snapToGrid w:val="0"/>
          <w:sz w:val="24"/>
          <w:szCs w:val="24"/>
        </w:rPr>
        <w:t>We also know that a</w:t>
      </w:r>
      <w:r w:rsidR="00375DE0" w:rsidRPr="00BB6F65">
        <w:rPr>
          <w:rFonts w:ascii="Arial" w:eastAsia="Times New Roman" w:hAnsi="Arial" w:cs="Arial"/>
          <w:snapToGrid w:val="0"/>
          <w:sz w:val="24"/>
          <w:szCs w:val="24"/>
        </w:rPr>
        <w:t>necdotal evidence suggests that many newly trained GPs, rather than committing to a salaried post within a single practice, choose instead to locum</w:t>
      </w:r>
      <w:r w:rsidR="00370B70">
        <w:rPr>
          <w:rFonts w:ascii="Arial" w:eastAsia="Times New Roman" w:hAnsi="Arial" w:cs="Arial"/>
          <w:snapToGrid w:val="0"/>
          <w:sz w:val="24"/>
          <w:szCs w:val="24"/>
        </w:rPr>
        <w:t xml:space="preserve">. </w:t>
      </w:r>
      <w:r w:rsidR="00375DE0" w:rsidRPr="00BB6F65">
        <w:rPr>
          <w:rFonts w:ascii="Arial" w:eastAsia="Times New Roman" w:hAnsi="Arial" w:cs="Arial"/>
          <w:snapToGrid w:val="0"/>
          <w:sz w:val="24"/>
          <w:szCs w:val="24"/>
        </w:rPr>
        <w:t xml:space="preserve"> </w:t>
      </w:r>
      <w:r w:rsidR="00370B70">
        <w:rPr>
          <w:rFonts w:ascii="Arial" w:eastAsia="Times New Roman" w:hAnsi="Arial" w:cs="Arial"/>
          <w:snapToGrid w:val="0"/>
          <w:sz w:val="24"/>
          <w:szCs w:val="24"/>
        </w:rPr>
        <w:t>T</w:t>
      </w:r>
      <w:r w:rsidR="00375DE0" w:rsidRPr="00BB6F65">
        <w:rPr>
          <w:rFonts w:ascii="Arial" w:eastAsia="Times New Roman" w:hAnsi="Arial" w:cs="Arial"/>
          <w:snapToGrid w:val="0"/>
          <w:sz w:val="24"/>
          <w:szCs w:val="24"/>
        </w:rPr>
        <w:t>his gives them greater flexibility and control of their working life and enables them to experience a range of work (in hours / out of hours) across a range of practices and health providers</w:t>
      </w:r>
      <w:r w:rsidR="00370B70">
        <w:rPr>
          <w:rFonts w:ascii="Arial" w:eastAsia="Times New Roman" w:hAnsi="Arial" w:cs="Arial"/>
          <w:snapToGrid w:val="0"/>
          <w:sz w:val="24"/>
          <w:szCs w:val="24"/>
        </w:rPr>
        <w:t>.</w:t>
      </w:r>
    </w:p>
    <w:p w:rsidR="00375DE0" w:rsidRPr="00375DE0" w:rsidRDefault="00375DE0" w:rsidP="001B31B3">
      <w:pPr>
        <w:widowControl w:val="0"/>
        <w:spacing w:after="0"/>
        <w:rPr>
          <w:rFonts w:ascii="Arial" w:eastAsia="Times New Roman" w:hAnsi="Arial" w:cs="Arial"/>
          <w:snapToGrid w:val="0"/>
          <w:sz w:val="24"/>
          <w:szCs w:val="24"/>
          <w:lang w:eastAsia="en-GB"/>
        </w:rPr>
      </w:pPr>
    </w:p>
    <w:p w:rsidR="00CA3BAF" w:rsidRPr="00C77B28" w:rsidRDefault="00CA3BAF" w:rsidP="001B31B3">
      <w:pPr>
        <w:rPr>
          <w:rFonts w:ascii="Arial" w:eastAsia="Times New Roman" w:hAnsi="Arial" w:cs="Arial"/>
          <w:b/>
          <w:snapToGrid w:val="0"/>
          <w:sz w:val="24"/>
          <w:szCs w:val="24"/>
        </w:rPr>
      </w:pPr>
      <w:r w:rsidRPr="00C77B28">
        <w:rPr>
          <w:rFonts w:ascii="Arial" w:eastAsia="Times New Roman" w:hAnsi="Arial" w:cs="Arial"/>
          <w:b/>
          <w:snapToGrid w:val="0"/>
          <w:sz w:val="24"/>
          <w:szCs w:val="24"/>
        </w:rPr>
        <w:t>Principles of the scheme</w:t>
      </w:r>
    </w:p>
    <w:p w:rsidR="00C77B28" w:rsidRPr="00BB6F65" w:rsidRDefault="00383570" w:rsidP="00BB6F65">
      <w:pPr>
        <w:pStyle w:val="ListParagraph"/>
        <w:numPr>
          <w:ilvl w:val="0"/>
          <w:numId w:val="9"/>
        </w:numPr>
        <w:spacing w:after="0"/>
        <w:rPr>
          <w:rFonts w:ascii="Arial" w:eastAsia="Times New Roman" w:hAnsi="Arial" w:cs="Arial"/>
          <w:snapToGrid w:val="0"/>
          <w:sz w:val="24"/>
          <w:szCs w:val="24"/>
        </w:rPr>
      </w:pPr>
      <w:r w:rsidRPr="00BB6F65">
        <w:rPr>
          <w:rFonts w:ascii="Arial" w:eastAsia="Times New Roman" w:hAnsi="Arial" w:cs="Arial"/>
          <w:snapToGrid w:val="0"/>
          <w:sz w:val="24"/>
          <w:szCs w:val="24"/>
        </w:rPr>
        <w:t>NH</w:t>
      </w:r>
      <w:r w:rsidR="00455C1D" w:rsidRPr="00BB6F65">
        <w:rPr>
          <w:rFonts w:ascii="Arial" w:eastAsia="Times New Roman" w:hAnsi="Arial" w:cs="Arial"/>
          <w:snapToGrid w:val="0"/>
          <w:sz w:val="24"/>
          <w:szCs w:val="24"/>
        </w:rPr>
        <w:t>S</w:t>
      </w:r>
      <w:r w:rsidRPr="00BB6F65">
        <w:rPr>
          <w:rFonts w:ascii="Arial" w:eastAsia="Times New Roman" w:hAnsi="Arial" w:cs="Arial"/>
          <w:snapToGrid w:val="0"/>
          <w:sz w:val="24"/>
          <w:szCs w:val="24"/>
        </w:rPr>
        <w:t xml:space="preserve"> England led </w:t>
      </w:r>
      <w:r w:rsidR="00370B70">
        <w:rPr>
          <w:rFonts w:ascii="Arial" w:eastAsia="Times New Roman" w:hAnsi="Arial" w:cs="Arial"/>
          <w:snapToGrid w:val="0"/>
          <w:sz w:val="24"/>
          <w:szCs w:val="24"/>
        </w:rPr>
        <w:t xml:space="preserve">a </w:t>
      </w:r>
      <w:r w:rsidR="00C77B28" w:rsidRPr="00BB6F65">
        <w:rPr>
          <w:rFonts w:ascii="Arial" w:eastAsia="Times New Roman" w:hAnsi="Arial" w:cs="Arial"/>
          <w:snapToGrid w:val="0"/>
          <w:sz w:val="24"/>
          <w:szCs w:val="24"/>
        </w:rPr>
        <w:t>workshop</w:t>
      </w:r>
      <w:r w:rsidRPr="00BB6F65">
        <w:rPr>
          <w:rFonts w:ascii="Arial" w:eastAsia="Times New Roman" w:hAnsi="Arial" w:cs="Arial"/>
          <w:snapToGrid w:val="0"/>
          <w:sz w:val="24"/>
          <w:szCs w:val="24"/>
        </w:rPr>
        <w:t xml:space="preserve"> to</w:t>
      </w:r>
      <w:r w:rsidR="00C77B28" w:rsidRPr="00BB6F65">
        <w:rPr>
          <w:rFonts w:ascii="Arial" w:eastAsia="Times New Roman" w:hAnsi="Arial" w:cs="Arial"/>
          <w:snapToGrid w:val="0"/>
          <w:sz w:val="24"/>
          <w:szCs w:val="24"/>
        </w:rPr>
        <w:t xml:space="preserve"> </w:t>
      </w:r>
      <w:r w:rsidR="00241169">
        <w:rPr>
          <w:rFonts w:ascii="Arial" w:eastAsia="Times New Roman" w:hAnsi="Arial" w:cs="Arial"/>
          <w:snapToGrid w:val="0"/>
          <w:sz w:val="24"/>
          <w:szCs w:val="24"/>
        </w:rPr>
        <w:t xml:space="preserve">develop ideas about how to retain </w:t>
      </w:r>
      <w:r w:rsidR="00F575EF" w:rsidRPr="00BB6F65">
        <w:rPr>
          <w:rFonts w:ascii="Arial" w:eastAsia="Times New Roman" w:hAnsi="Arial" w:cs="Arial"/>
          <w:snapToGrid w:val="0"/>
          <w:sz w:val="24"/>
          <w:szCs w:val="24"/>
        </w:rPr>
        <w:t>experienced GPs,</w:t>
      </w:r>
      <w:r w:rsidR="00C77B28" w:rsidRPr="00BB6F65">
        <w:rPr>
          <w:rFonts w:ascii="Arial" w:eastAsia="Times New Roman" w:hAnsi="Arial" w:cs="Arial"/>
          <w:snapToGrid w:val="0"/>
          <w:sz w:val="24"/>
          <w:szCs w:val="24"/>
        </w:rPr>
        <w:t xml:space="preserve"> to increase clinical capacity and enable GPs to undertake portfolio of roles as part of a more flexible way of working.</w:t>
      </w:r>
      <w:r w:rsidR="00370B70" w:rsidRPr="00370B70">
        <w:rPr>
          <w:rFonts w:ascii="Arial" w:eastAsia="Times New Roman" w:hAnsi="Arial" w:cs="Arial"/>
          <w:snapToGrid w:val="0"/>
          <w:sz w:val="24"/>
          <w:szCs w:val="24"/>
        </w:rPr>
        <w:t xml:space="preserve"> </w:t>
      </w:r>
      <w:r w:rsidR="00370B70">
        <w:rPr>
          <w:rFonts w:ascii="Arial" w:eastAsia="Times New Roman" w:hAnsi="Arial" w:cs="Arial"/>
          <w:snapToGrid w:val="0"/>
          <w:sz w:val="24"/>
          <w:szCs w:val="24"/>
        </w:rPr>
        <w:t xml:space="preserve">The workshop was </w:t>
      </w:r>
      <w:r w:rsidR="00370B70" w:rsidRPr="00BB6F65">
        <w:rPr>
          <w:rFonts w:ascii="Arial" w:eastAsia="Times New Roman" w:hAnsi="Arial" w:cs="Arial"/>
          <w:snapToGrid w:val="0"/>
          <w:sz w:val="24"/>
          <w:szCs w:val="24"/>
        </w:rPr>
        <w:t xml:space="preserve">attended by Chair and Chair elect of the RCGP (Maureen Baker </w:t>
      </w:r>
      <w:r w:rsidR="00370B70" w:rsidRPr="00FC25C4">
        <w:rPr>
          <w:rFonts w:ascii="Arial" w:eastAsia="Times New Roman" w:hAnsi="Arial" w:cs="Arial"/>
          <w:snapToGrid w:val="0"/>
          <w:sz w:val="24"/>
          <w:szCs w:val="24"/>
        </w:rPr>
        <w:t xml:space="preserve">and </w:t>
      </w:r>
      <w:r w:rsidR="00370B70" w:rsidRPr="00FC25C4">
        <w:rPr>
          <w:rFonts w:ascii="Arial" w:hAnsi="Arial" w:cs="Arial"/>
          <w:sz w:val="24"/>
          <w:szCs w:val="24"/>
        </w:rPr>
        <w:t>Helen Stokes-Lampard</w:t>
      </w:r>
      <w:r w:rsidR="00370B70" w:rsidRPr="00BB6F65">
        <w:rPr>
          <w:rFonts w:ascii="Arial" w:eastAsia="Times New Roman" w:hAnsi="Arial" w:cs="Arial"/>
          <w:snapToGrid w:val="0"/>
          <w:sz w:val="24"/>
          <w:szCs w:val="24"/>
        </w:rPr>
        <w:t>)</w:t>
      </w:r>
      <w:r w:rsidR="00370B70">
        <w:rPr>
          <w:rFonts w:ascii="Arial" w:eastAsia="Times New Roman" w:hAnsi="Arial" w:cs="Arial"/>
          <w:snapToGrid w:val="0"/>
          <w:sz w:val="24"/>
          <w:szCs w:val="24"/>
        </w:rPr>
        <w:t>,</w:t>
      </w:r>
      <w:r w:rsidR="00370B70" w:rsidRPr="00BB6F65">
        <w:rPr>
          <w:rFonts w:ascii="Arial" w:eastAsia="Times New Roman" w:hAnsi="Arial" w:cs="Arial"/>
          <w:snapToGrid w:val="0"/>
          <w:sz w:val="24"/>
          <w:szCs w:val="24"/>
        </w:rPr>
        <w:t xml:space="preserve"> senior members of the BMA</w:t>
      </w:r>
      <w:r w:rsidR="00370B70">
        <w:rPr>
          <w:rFonts w:ascii="Arial" w:eastAsia="Times New Roman" w:hAnsi="Arial" w:cs="Arial"/>
          <w:snapToGrid w:val="0"/>
          <w:sz w:val="24"/>
          <w:szCs w:val="24"/>
        </w:rPr>
        <w:t xml:space="preserve"> and colleagues from Health Education England.</w:t>
      </w:r>
      <w:r w:rsidR="00241169">
        <w:rPr>
          <w:rFonts w:ascii="Arial" w:eastAsia="Times New Roman" w:hAnsi="Arial" w:cs="Arial"/>
          <w:snapToGrid w:val="0"/>
          <w:sz w:val="24"/>
          <w:szCs w:val="24"/>
        </w:rPr>
        <w:t xml:space="preserve">  </w:t>
      </w:r>
    </w:p>
    <w:p w:rsidR="00C77B28" w:rsidRDefault="00C77B28" w:rsidP="001B31B3">
      <w:pPr>
        <w:spacing w:after="0"/>
        <w:rPr>
          <w:rFonts w:ascii="Arial" w:eastAsia="Times New Roman" w:hAnsi="Arial" w:cs="Arial"/>
          <w:snapToGrid w:val="0"/>
          <w:sz w:val="24"/>
          <w:szCs w:val="24"/>
        </w:rPr>
      </w:pPr>
    </w:p>
    <w:p w:rsidR="00CA7F9B" w:rsidRDefault="00C77B28" w:rsidP="001B31B3">
      <w:pPr>
        <w:pStyle w:val="ListParagraph"/>
        <w:numPr>
          <w:ilvl w:val="0"/>
          <w:numId w:val="9"/>
        </w:numPr>
        <w:spacing w:after="0"/>
        <w:rPr>
          <w:rFonts w:ascii="Arial" w:eastAsia="Times New Roman" w:hAnsi="Arial" w:cs="Arial"/>
          <w:snapToGrid w:val="0"/>
          <w:sz w:val="24"/>
          <w:szCs w:val="24"/>
        </w:rPr>
      </w:pPr>
      <w:r w:rsidRPr="00241169">
        <w:rPr>
          <w:rFonts w:ascii="Arial" w:eastAsia="Times New Roman" w:hAnsi="Arial" w:cs="Arial"/>
          <w:snapToGrid w:val="0"/>
          <w:sz w:val="24"/>
          <w:szCs w:val="24"/>
        </w:rPr>
        <w:lastRenderedPageBreak/>
        <w:t xml:space="preserve">The </w:t>
      </w:r>
      <w:r w:rsidR="00241169" w:rsidRPr="00241169">
        <w:rPr>
          <w:rFonts w:ascii="Arial" w:eastAsia="Times New Roman" w:hAnsi="Arial" w:cs="Arial"/>
          <w:snapToGrid w:val="0"/>
          <w:sz w:val="24"/>
          <w:szCs w:val="24"/>
        </w:rPr>
        <w:t xml:space="preserve">workshop </w:t>
      </w:r>
      <w:r w:rsidR="00241169">
        <w:rPr>
          <w:rFonts w:ascii="Arial" w:eastAsia="Times New Roman" w:hAnsi="Arial" w:cs="Arial"/>
          <w:snapToGrid w:val="0"/>
          <w:sz w:val="24"/>
          <w:szCs w:val="24"/>
        </w:rPr>
        <w:t xml:space="preserve">developed </w:t>
      </w:r>
      <w:r w:rsidR="00241169" w:rsidRPr="00241169">
        <w:rPr>
          <w:rFonts w:ascii="Arial" w:eastAsia="Times New Roman" w:hAnsi="Arial" w:cs="Arial"/>
          <w:snapToGrid w:val="0"/>
          <w:sz w:val="24"/>
          <w:szCs w:val="24"/>
        </w:rPr>
        <w:t xml:space="preserve">the idea of a scheme which could be called something like “GP Career Plus Scheme” or “Flexible Career Scheme”.   </w:t>
      </w:r>
    </w:p>
    <w:p w:rsidR="00241169" w:rsidRPr="00241169" w:rsidRDefault="00241169" w:rsidP="00241169">
      <w:pPr>
        <w:pStyle w:val="ListParagraph"/>
        <w:rPr>
          <w:rFonts w:ascii="Arial" w:eastAsia="Times New Roman" w:hAnsi="Arial" w:cs="Arial"/>
          <w:snapToGrid w:val="0"/>
          <w:sz w:val="24"/>
          <w:szCs w:val="24"/>
        </w:rPr>
      </w:pPr>
    </w:p>
    <w:p w:rsidR="00CA3BAF" w:rsidRPr="00375DE0" w:rsidRDefault="00CA3BAF" w:rsidP="001B31B3">
      <w:pPr>
        <w:rPr>
          <w:rFonts w:ascii="Arial" w:hAnsi="Arial" w:cs="Arial"/>
          <w:b/>
          <w:sz w:val="24"/>
          <w:szCs w:val="24"/>
        </w:rPr>
      </w:pPr>
      <w:r w:rsidRPr="00375DE0">
        <w:rPr>
          <w:rFonts w:ascii="Arial" w:hAnsi="Arial" w:cs="Arial"/>
          <w:b/>
          <w:sz w:val="24"/>
          <w:szCs w:val="24"/>
        </w:rPr>
        <w:t>The model</w:t>
      </w:r>
      <w:r w:rsidR="00241169">
        <w:rPr>
          <w:rFonts w:ascii="Arial" w:hAnsi="Arial" w:cs="Arial"/>
          <w:b/>
          <w:sz w:val="24"/>
          <w:szCs w:val="24"/>
        </w:rPr>
        <w:t xml:space="preserve"> scheme</w:t>
      </w:r>
    </w:p>
    <w:p w:rsidR="00F76704" w:rsidRPr="0017783C" w:rsidRDefault="00F76704" w:rsidP="00C36F61">
      <w:pPr>
        <w:pStyle w:val="ListParagraph"/>
        <w:numPr>
          <w:ilvl w:val="0"/>
          <w:numId w:val="9"/>
        </w:numPr>
        <w:spacing w:after="0"/>
        <w:rPr>
          <w:rFonts w:ascii="Arial" w:eastAsia="Times New Roman" w:hAnsi="Arial" w:cs="Arial"/>
          <w:snapToGrid w:val="0"/>
          <w:sz w:val="24"/>
          <w:szCs w:val="24"/>
        </w:rPr>
      </w:pPr>
      <w:r w:rsidRPr="0017783C">
        <w:rPr>
          <w:rFonts w:ascii="Arial" w:eastAsia="Times New Roman" w:hAnsi="Arial" w:cs="Arial"/>
          <w:snapToGrid w:val="0"/>
          <w:sz w:val="24"/>
          <w:szCs w:val="24"/>
        </w:rPr>
        <w:t xml:space="preserve">GPs </w:t>
      </w:r>
      <w:r w:rsidR="00F8001C" w:rsidRPr="0017783C">
        <w:rPr>
          <w:rFonts w:ascii="Arial" w:eastAsia="Times New Roman" w:hAnsi="Arial" w:cs="Arial"/>
          <w:snapToGrid w:val="0"/>
          <w:sz w:val="24"/>
          <w:szCs w:val="24"/>
        </w:rPr>
        <w:t xml:space="preserve">who would otherwise leave </w:t>
      </w:r>
      <w:r w:rsidRPr="0017783C">
        <w:rPr>
          <w:rFonts w:ascii="Arial" w:eastAsia="Times New Roman" w:hAnsi="Arial" w:cs="Arial"/>
          <w:snapToGrid w:val="0"/>
          <w:sz w:val="24"/>
          <w:szCs w:val="24"/>
        </w:rPr>
        <w:t>are recruited into a permanent pool hosted by a lead employer (federation or other</w:t>
      </w:r>
      <w:r w:rsidR="00F627DF" w:rsidRPr="0017783C">
        <w:rPr>
          <w:rFonts w:ascii="Arial" w:eastAsia="Times New Roman" w:hAnsi="Arial" w:cs="Arial"/>
          <w:snapToGrid w:val="0"/>
          <w:sz w:val="24"/>
          <w:szCs w:val="24"/>
        </w:rPr>
        <w:t xml:space="preserve"> provider</w:t>
      </w:r>
      <w:r w:rsidRPr="0017783C">
        <w:rPr>
          <w:rFonts w:ascii="Arial" w:eastAsia="Times New Roman" w:hAnsi="Arial" w:cs="Arial"/>
          <w:snapToGrid w:val="0"/>
          <w:sz w:val="24"/>
          <w:szCs w:val="24"/>
        </w:rPr>
        <w:t xml:space="preserve">). </w:t>
      </w:r>
      <w:r w:rsidR="00241169">
        <w:rPr>
          <w:rFonts w:ascii="Arial" w:eastAsia="Times New Roman" w:hAnsi="Arial" w:cs="Arial"/>
          <w:snapToGrid w:val="0"/>
          <w:sz w:val="24"/>
          <w:szCs w:val="24"/>
        </w:rPr>
        <w:t xml:space="preserve"> It will be important to make it more attractive than leaving altogether, but less attractive than remaining a partner in practice – otherwise we are at risk of diverting clinical capacity from one part of the system to another, rather than increasing the quantum of clinical capacity in the system.    </w:t>
      </w:r>
      <w:r w:rsidRPr="0017783C">
        <w:rPr>
          <w:rFonts w:ascii="Arial" w:eastAsia="Times New Roman" w:hAnsi="Arial" w:cs="Arial"/>
          <w:snapToGrid w:val="0"/>
          <w:sz w:val="24"/>
          <w:szCs w:val="24"/>
        </w:rPr>
        <w:t>The</w:t>
      </w:r>
      <w:r w:rsidR="00F8001C" w:rsidRPr="0017783C">
        <w:rPr>
          <w:rFonts w:ascii="Arial" w:eastAsia="Times New Roman" w:hAnsi="Arial" w:cs="Arial"/>
          <w:snapToGrid w:val="0"/>
          <w:sz w:val="24"/>
          <w:szCs w:val="24"/>
        </w:rPr>
        <w:t>se</w:t>
      </w:r>
      <w:r w:rsidRPr="0017783C">
        <w:rPr>
          <w:rFonts w:ascii="Arial" w:eastAsia="Times New Roman" w:hAnsi="Arial" w:cs="Arial"/>
          <w:snapToGrid w:val="0"/>
          <w:sz w:val="24"/>
          <w:szCs w:val="24"/>
        </w:rPr>
        <w:t xml:space="preserve"> GP</w:t>
      </w:r>
      <w:r w:rsidR="00F8001C" w:rsidRPr="0017783C">
        <w:rPr>
          <w:rFonts w:ascii="Arial" w:eastAsia="Times New Roman" w:hAnsi="Arial" w:cs="Arial"/>
          <w:snapToGrid w:val="0"/>
          <w:sz w:val="24"/>
          <w:szCs w:val="24"/>
        </w:rPr>
        <w:t>s</w:t>
      </w:r>
      <w:r w:rsidR="003B0B60" w:rsidRPr="0017783C">
        <w:rPr>
          <w:rFonts w:ascii="Arial" w:eastAsia="Times New Roman" w:hAnsi="Arial" w:cs="Arial"/>
          <w:snapToGrid w:val="0"/>
          <w:sz w:val="24"/>
          <w:szCs w:val="24"/>
        </w:rPr>
        <w:t xml:space="preserve"> would be salaried</w:t>
      </w:r>
      <w:r w:rsidRPr="0017783C">
        <w:rPr>
          <w:rFonts w:ascii="Arial" w:eastAsia="Times New Roman" w:hAnsi="Arial" w:cs="Arial"/>
          <w:snapToGrid w:val="0"/>
          <w:sz w:val="24"/>
          <w:szCs w:val="24"/>
        </w:rPr>
        <w:t xml:space="preserve"> and paid by the lead employer who would then </w:t>
      </w:r>
      <w:r w:rsidR="00291BC9" w:rsidRPr="0017783C">
        <w:rPr>
          <w:rFonts w:ascii="Arial" w:eastAsia="Times New Roman" w:hAnsi="Arial" w:cs="Arial"/>
          <w:snapToGrid w:val="0"/>
          <w:sz w:val="24"/>
          <w:szCs w:val="24"/>
        </w:rPr>
        <w:t xml:space="preserve">charge </w:t>
      </w:r>
      <w:r w:rsidRPr="0017783C">
        <w:rPr>
          <w:rFonts w:ascii="Arial" w:eastAsia="Times New Roman" w:hAnsi="Arial" w:cs="Arial"/>
          <w:snapToGrid w:val="0"/>
          <w:sz w:val="24"/>
          <w:szCs w:val="24"/>
        </w:rPr>
        <w:t xml:space="preserve">practices </w:t>
      </w:r>
      <w:r w:rsidR="00291BC9" w:rsidRPr="0017783C">
        <w:rPr>
          <w:rFonts w:ascii="Arial" w:eastAsia="Times New Roman" w:hAnsi="Arial" w:cs="Arial"/>
          <w:snapToGrid w:val="0"/>
          <w:sz w:val="24"/>
          <w:szCs w:val="24"/>
        </w:rPr>
        <w:t>and ot</w:t>
      </w:r>
      <w:r w:rsidR="00A32490" w:rsidRPr="0017783C">
        <w:rPr>
          <w:rFonts w:ascii="Arial" w:eastAsia="Times New Roman" w:hAnsi="Arial" w:cs="Arial"/>
          <w:snapToGrid w:val="0"/>
          <w:sz w:val="24"/>
          <w:szCs w:val="24"/>
        </w:rPr>
        <w:t>her organisations for work done</w:t>
      </w:r>
      <w:r w:rsidRPr="0017783C">
        <w:rPr>
          <w:rFonts w:ascii="Arial" w:eastAsia="Times New Roman" w:hAnsi="Arial" w:cs="Arial"/>
          <w:snapToGrid w:val="0"/>
          <w:sz w:val="24"/>
          <w:szCs w:val="24"/>
        </w:rPr>
        <w:t>. The GPs</w:t>
      </w:r>
      <w:r w:rsidR="00291BC9" w:rsidRPr="0017783C">
        <w:rPr>
          <w:rFonts w:ascii="Arial" w:eastAsia="Times New Roman" w:hAnsi="Arial" w:cs="Arial"/>
          <w:snapToGrid w:val="0"/>
          <w:sz w:val="24"/>
          <w:szCs w:val="24"/>
        </w:rPr>
        <w:t>’</w:t>
      </w:r>
      <w:r w:rsidRPr="0017783C">
        <w:rPr>
          <w:rFonts w:ascii="Arial" w:eastAsia="Times New Roman" w:hAnsi="Arial" w:cs="Arial"/>
          <w:snapToGrid w:val="0"/>
          <w:sz w:val="24"/>
          <w:szCs w:val="24"/>
        </w:rPr>
        <w:t xml:space="preserve"> </w:t>
      </w:r>
      <w:r w:rsidR="003B0B60" w:rsidRPr="0017783C">
        <w:rPr>
          <w:rFonts w:ascii="Arial" w:eastAsia="Times New Roman" w:hAnsi="Arial" w:cs="Arial"/>
          <w:snapToGrid w:val="0"/>
          <w:sz w:val="24"/>
          <w:szCs w:val="24"/>
        </w:rPr>
        <w:t>salar</w:t>
      </w:r>
      <w:r w:rsidR="00291BC9" w:rsidRPr="0017783C">
        <w:rPr>
          <w:rFonts w:ascii="Arial" w:eastAsia="Times New Roman" w:hAnsi="Arial" w:cs="Arial"/>
          <w:snapToGrid w:val="0"/>
          <w:sz w:val="24"/>
          <w:szCs w:val="24"/>
        </w:rPr>
        <w:t>ies</w:t>
      </w:r>
      <w:r w:rsidR="003B0B60" w:rsidRPr="0017783C">
        <w:rPr>
          <w:rFonts w:ascii="Arial" w:eastAsia="Times New Roman" w:hAnsi="Arial" w:cs="Arial"/>
          <w:snapToGrid w:val="0"/>
          <w:sz w:val="24"/>
          <w:szCs w:val="24"/>
        </w:rPr>
        <w:t xml:space="preserve"> would be c</w:t>
      </w:r>
      <w:r w:rsidRPr="0017783C">
        <w:rPr>
          <w:rFonts w:ascii="Arial" w:eastAsia="Times New Roman" w:hAnsi="Arial" w:cs="Arial"/>
          <w:snapToGrid w:val="0"/>
          <w:sz w:val="24"/>
          <w:szCs w:val="24"/>
        </w:rPr>
        <w:t xml:space="preserve">omparable </w:t>
      </w:r>
      <w:r w:rsidR="00291BC9" w:rsidRPr="0017783C">
        <w:rPr>
          <w:rFonts w:ascii="Arial" w:eastAsia="Times New Roman" w:hAnsi="Arial" w:cs="Arial"/>
          <w:snapToGrid w:val="0"/>
          <w:sz w:val="24"/>
          <w:szCs w:val="24"/>
        </w:rPr>
        <w:t xml:space="preserve">to </w:t>
      </w:r>
      <w:r w:rsidRPr="0017783C">
        <w:rPr>
          <w:rFonts w:ascii="Arial" w:eastAsia="Times New Roman" w:hAnsi="Arial" w:cs="Arial"/>
          <w:snapToGrid w:val="0"/>
          <w:sz w:val="24"/>
          <w:szCs w:val="24"/>
        </w:rPr>
        <w:t>a practice based salaried post</w:t>
      </w:r>
      <w:r w:rsidR="0017783C">
        <w:rPr>
          <w:rFonts w:ascii="Arial" w:eastAsia="Times New Roman" w:hAnsi="Arial" w:cs="Arial"/>
          <w:snapToGrid w:val="0"/>
          <w:sz w:val="24"/>
          <w:szCs w:val="24"/>
        </w:rPr>
        <w:t>.</w:t>
      </w:r>
      <w:r w:rsidR="00C36F61">
        <w:rPr>
          <w:rFonts w:ascii="Arial" w:eastAsia="Times New Roman" w:hAnsi="Arial" w:cs="Arial"/>
          <w:snapToGrid w:val="0"/>
          <w:sz w:val="24"/>
          <w:szCs w:val="24"/>
        </w:rPr>
        <w:t xml:space="preserve"> </w:t>
      </w:r>
      <w:r w:rsidR="008628DA">
        <w:rPr>
          <w:rFonts w:ascii="Arial" w:eastAsia="Times New Roman" w:hAnsi="Arial" w:cs="Arial"/>
          <w:snapToGrid w:val="0"/>
          <w:sz w:val="24"/>
          <w:szCs w:val="24"/>
        </w:rPr>
        <w:t xml:space="preserve">The pool </w:t>
      </w:r>
      <w:r w:rsidR="003E131E">
        <w:rPr>
          <w:rFonts w:ascii="Arial" w:eastAsia="Times New Roman" w:hAnsi="Arial" w:cs="Arial"/>
          <w:snapToGrid w:val="0"/>
          <w:sz w:val="24"/>
          <w:szCs w:val="24"/>
        </w:rPr>
        <w:t>will</w:t>
      </w:r>
      <w:r w:rsidR="008628DA">
        <w:rPr>
          <w:rFonts w:ascii="Arial" w:eastAsia="Times New Roman" w:hAnsi="Arial" w:cs="Arial"/>
          <w:snapToGrid w:val="0"/>
          <w:sz w:val="24"/>
          <w:szCs w:val="24"/>
        </w:rPr>
        <w:t xml:space="preserve"> cover a large population</w:t>
      </w:r>
      <w:r w:rsidR="003E131E">
        <w:rPr>
          <w:rFonts w:ascii="Arial" w:eastAsia="Times New Roman" w:hAnsi="Arial" w:cs="Arial"/>
          <w:snapToGrid w:val="0"/>
          <w:sz w:val="24"/>
          <w:szCs w:val="24"/>
        </w:rPr>
        <w:t xml:space="preserve"> (</w:t>
      </w:r>
      <w:r w:rsidR="00AD2D9B">
        <w:rPr>
          <w:rFonts w:ascii="Arial" w:eastAsia="Times New Roman" w:hAnsi="Arial" w:cs="Arial"/>
          <w:snapToGrid w:val="0"/>
          <w:sz w:val="24"/>
          <w:szCs w:val="24"/>
        </w:rPr>
        <w:t xml:space="preserve">potentially </w:t>
      </w:r>
      <w:r w:rsidR="003E131E">
        <w:rPr>
          <w:rFonts w:ascii="Arial" w:eastAsia="Times New Roman" w:hAnsi="Arial" w:cs="Arial"/>
          <w:snapToGrid w:val="0"/>
          <w:sz w:val="24"/>
          <w:szCs w:val="24"/>
        </w:rPr>
        <w:t>up to 1</w:t>
      </w:r>
      <w:r w:rsidR="002636B5">
        <w:rPr>
          <w:rFonts w:ascii="Arial" w:eastAsia="Times New Roman" w:hAnsi="Arial" w:cs="Arial"/>
          <w:snapToGrid w:val="0"/>
          <w:sz w:val="24"/>
          <w:szCs w:val="24"/>
        </w:rPr>
        <w:t>.5</w:t>
      </w:r>
      <w:r w:rsidR="003E131E">
        <w:rPr>
          <w:rFonts w:ascii="Arial" w:eastAsia="Times New Roman" w:hAnsi="Arial" w:cs="Arial"/>
          <w:snapToGrid w:val="0"/>
          <w:sz w:val="24"/>
          <w:szCs w:val="24"/>
        </w:rPr>
        <w:t>m) with a single organisation acting as a lead employer on behalf of others.</w:t>
      </w:r>
      <w:r w:rsidR="003E131E">
        <w:rPr>
          <w:rFonts w:ascii="Arial" w:eastAsia="Times New Roman" w:hAnsi="Arial" w:cs="Arial"/>
          <w:snapToGrid w:val="0"/>
          <w:sz w:val="24"/>
          <w:szCs w:val="24"/>
        </w:rPr>
        <w:br/>
      </w:r>
    </w:p>
    <w:p w:rsidR="00072ECC" w:rsidRDefault="00F76704" w:rsidP="00072ECC">
      <w:pPr>
        <w:pStyle w:val="ListParagraph"/>
        <w:numPr>
          <w:ilvl w:val="0"/>
          <w:numId w:val="9"/>
        </w:numPr>
        <w:rPr>
          <w:rFonts w:ascii="Arial" w:hAnsi="Arial" w:cs="Arial"/>
          <w:sz w:val="24"/>
          <w:szCs w:val="24"/>
        </w:rPr>
      </w:pPr>
      <w:r w:rsidRPr="00BB6F65">
        <w:rPr>
          <w:rFonts w:ascii="Arial" w:eastAsia="Times New Roman" w:hAnsi="Arial" w:cs="Arial"/>
          <w:snapToGrid w:val="0"/>
          <w:sz w:val="24"/>
          <w:szCs w:val="24"/>
        </w:rPr>
        <w:t>The GPs would be able to access CPD and other professional development and would receive a contribution to costs including indemnity and GMC registration.</w:t>
      </w:r>
      <w:r w:rsidR="002B5E93" w:rsidRPr="00BB6F65">
        <w:rPr>
          <w:rFonts w:ascii="Arial" w:eastAsia="Times New Roman" w:hAnsi="Arial" w:cs="Arial"/>
          <w:snapToGrid w:val="0"/>
          <w:sz w:val="24"/>
          <w:szCs w:val="24"/>
        </w:rPr>
        <w:t xml:space="preserve"> Support would also be provided </w:t>
      </w:r>
      <w:r w:rsidR="00F91A82" w:rsidRPr="00BB6F65">
        <w:rPr>
          <w:rFonts w:ascii="Arial" w:eastAsia="Times New Roman" w:hAnsi="Arial" w:cs="Arial"/>
          <w:snapToGrid w:val="0"/>
          <w:sz w:val="24"/>
          <w:szCs w:val="24"/>
        </w:rPr>
        <w:t>for appraisal and revalidation.</w:t>
      </w:r>
      <w:r w:rsidR="00072ECC">
        <w:rPr>
          <w:rFonts w:ascii="Arial" w:eastAsia="Times New Roman" w:hAnsi="Arial" w:cs="Arial"/>
          <w:snapToGrid w:val="0"/>
          <w:sz w:val="24"/>
          <w:szCs w:val="24"/>
        </w:rPr>
        <w:t xml:space="preserve">  In the first instance, we are proposing that NHS England funds this although in the long-run this would need to come from core allocations. </w:t>
      </w:r>
      <w:r w:rsidR="00072ECC" w:rsidRPr="00BB6F65">
        <w:rPr>
          <w:rFonts w:ascii="Arial" w:hAnsi="Arial" w:cs="Arial"/>
          <w:sz w:val="24"/>
          <w:szCs w:val="24"/>
        </w:rPr>
        <w:t>Administration and salary costs would be paid by the lead employer</w:t>
      </w:r>
      <w:r w:rsidR="00072ECC">
        <w:rPr>
          <w:rFonts w:ascii="Arial" w:hAnsi="Arial" w:cs="Arial"/>
          <w:sz w:val="24"/>
          <w:szCs w:val="24"/>
        </w:rPr>
        <w:t>, and recouped through a charging system to practices and other organisations.</w:t>
      </w:r>
    </w:p>
    <w:p w:rsidR="00F76704" w:rsidRPr="00F76704" w:rsidRDefault="00F76704" w:rsidP="001B31B3">
      <w:pPr>
        <w:spacing w:after="0"/>
        <w:rPr>
          <w:rFonts w:ascii="Arial" w:eastAsia="Times New Roman" w:hAnsi="Arial" w:cs="Arial"/>
          <w:snapToGrid w:val="0"/>
          <w:sz w:val="24"/>
          <w:szCs w:val="24"/>
        </w:rPr>
      </w:pPr>
    </w:p>
    <w:p w:rsidR="00B143D6" w:rsidRDefault="003B0B60" w:rsidP="00BB6F65">
      <w:pPr>
        <w:pStyle w:val="ListParagraph"/>
        <w:numPr>
          <w:ilvl w:val="0"/>
          <w:numId w:val="9"/>
        </w:numPr>
        <w:spacing w:after="0"/>
        <w:rPr>
          <w:rFonts w:ascii="Arial" w:eastAsia="Times New Roman" w:hAnsi="Arial" w:cs="Arial"/>
          <w:snapToGrid w:val="0"/>
          <w:sz w:val="24"/>
          <w:szCs w:val="24"/>
        </w:rPr>
      </w:pPr>
      <w:r w:rsidRPr="00BB6F65">
        <w:rPr>
          <w:rFonts w:ascii="Arial" w:eastAsia="Times New Roman" w:hAnsi="Arial" w:cs="Arial"/>
          <w:snapToGrid w:val="0"/>
          <w:sz w:val="24"/>
          <w:szCs w:val="24"/>
        </w:rPr>
        <w:t>The</w:t>
      </w:r>
      <w:r w:rsidR="00F76704" w:rsidRPr="00BB6F65">
        <w:rPr>
          <w:rFonts w:ascii="Arial" w:eastAsia="Times New Roman" w:hAnsi="Arial" w:cs="Arial"/>
          <w:snapToGrid w:val="0"/>
          <w:sz w:val="24"/>
          <w:szCs w:val="24"/>
        </w:rPr>
        <w:t xml:space="preserve"> GPs</w:t>
      </w:r>
      <w:r w:rsidRPr="00BB6F65">
        <w:rPr>
          <w:rFonts w:ascii="Arial" w:eastAsia="Times New Roman" w:hAnsi="Arial" w:cs="Arial"/>
          <w:snapToGrid w:val="0"/>
          <w:sz w:val="24"/>
          <w:szCs w:val="24"/>
        </w:rPr>
        <w:t xml:space="preserve"> within the pool</w:t>
      </w:r>
      <w:r w:rsidR="00F76704" w:rsidRPr="00BB6F65">
        <w:rPr>
          <w:rFonts w:ascii="Arial" w:eastAsia="Times New Roman" w:hAnsi="Arial" w:cs="Arial"/>
          <w:snapToGrid w:val="0"/>
          <w:sz w:val="24"/>
          <w:szCs w:val="24"/>
        </w:rPr>
        <w:t xml:space="preserve"> would be able to continue to contribute to the local health system as part of a local </w:t>
      </w:r>
      <w:r w:rsidR="00B143D6" w:rsidRPr="00BB6F65">
        <w:rPr>
          <w:rFonts w:ascii="Arial" w:eastAsia="Times New Roman" w:hAnsi="Arial" w:cs="Arial"/>
          <w:snapToGrid w:val="0"/>
          <w:sz w:val="24"/>
          <w:szCs w:val="24"/>
        </w:rPr>
        <w:t>team</w:t>
      </w:r>
      <w:r w:rsidR="0017783C">
        <w:rPr>
          <w:rFonts w:ascii="Arial" w:eastAsia="Times New Roman" w:hAnsi="Arial" w:cs="Arial"/>
          <w:snapToGrid w:val="0"/>
          <w:sz w:val="24"/>
          <w:szCs w:val="24"/>
        </w:rPr>
        <w:t>.</w:t>
      </w:r>
      <w:r w:rsidR="00B143D6" w:rsidRPr="00BB6F65">
        <w:rPr>
          <w:rFonts w:ascii="Arial" w:eastAsia="Times New Roman" w:hAnsi="Arial" w:cs="Arial"/>
          <w:snapToGrid w:val="0"/>
          <w:sz w:val="24"/>
          <w:szCs w:val="24"/>
        </w:rPr>
        <w:t xml:space="preserve"> </w:t>
      </w:r>
      <w:r w:rsidR="0017783C">
        <w:rPr>
          <w:rFonts w:ascii="Arial" w:eastAsia="Times New Roman" w:hAnsi="Arial" w:cs="Arial"/>
          <w:snapToGrid w:val="0"/>
          <w:sz w:val="24"/>
          <w:szCs w:val="24"/>
        </w:rPr>
        <w:t>They</w:t>
      </w:r>
      <w:r w:rsidR="0017783C" w:rsidRPr="00BB6F65">
        <w:rPr>
          <w:rFonts w:ascii="Arial" w:eastAsia="Times New Roman" w:hAnsi="Arial" w:cs="Arial"/>
          <w:snapToGrid w:val="0"/>
          <w:sz w:val="24"/>
          <w:szCs w:val="24"/>
        </w:rPr>
        <w:t xml:space="preserve"> </w:t>
      </w:r>
      <w:r w:rsidR="00F76704" w:rsidRPr="00BB6F65">
        <w:rPr>
          <w:rFonts w:ascii="Arial" w:eastAsia="Times New Roman" w:hAnsi="Arial" w:cs="Arial"/>
          <w:snapToGrid w:val="0"/>
          <w:sz w:val="24"/>
          <w:szCs w:val="24"/>
        </w:rPr>
        <w:t>would be matched and deployed to practices on various assignments</w:t>
      </w:r>
      <w:r w:rsidR="00B143D6" w:rsidRPr="00BB6F65">
        <w:rPr>
          <w:rFonts w:ascii="Arial" w:eastAsia="Times New Roman" w:hAnsi="Arial" w:cs="Arial"/>
          <w:snapToGrid w:val="0"/>
          <w:sz w:val="24"/>
          <w:szCs w:val="24"/>
        </w:rPr>
        <w:t xml:space="preserve"> depending on their skills, their </w:t>
      </w:r>
      <w:r w:rsidR="00F76704" w:rsidRPr="00BB6F65">
        <w:rPr>
          <w:rFonts w:ascii="Arial" w:eastAsia="Times New Roman" w:hAnsi="Arial" w:cs="Arial"/>
          <w:snapToGrid w:val="0"/>
          <w:sz w:val="24"/>
          <w:szCs w:val="24"/>
        </w:rPr>
        <w:t xml:space="preserve">requirements and the needs of the practice / population. </w:t>
      </w:r>
    </w:p>
    <w:p w:rsidR="0017783C" w:rsidRPr="00C36F61" w:rsidRDefault="0017783C" w:rsidP="00C36F61">
      <w:pPr>
        <w:pStyle w:val="ListParagraph"/>
        <w:rPr>
          <w:rFonts w:ascii="Arial" w:eastAsia="Times New Roman" w:hAnsi="Arial" w:cs="Arial"/>
          <w:snapToGrid w:val="0"/>
          <w:sz w:val="24"/>
          <w:szCs w:val="24"/>
        </w:rPr>
      </w:pPr>
    </w:p>
    <w:p w:rsidR="0017783C" w:rsidRPr="00BB6F65" w:rsidRDefault="0017783C" w:rsidP="00BB6F65">
      <w:pPr>
        <w:pStyle w:val="ListParagraph"/>
        <w:numPr>
          <w:ilvl w:val="0"/>
          <w:numId w:val="9"/>
        </w:numPr>
        <w:spacing w:after="0"/>
        <w:rPr>
          <w:rFonts w:ascii="Arial" w:eastAsia="Times New Roman" w:hAnsi="Arial" w:cs="Arial"/>
          <w:snapToGrid w:val="0"/>
          <w:sz w:val="24"/>
          <w:szCs w:val="24"/>
        </w:rPr>
      </w:pPr>
      <w:r>
        <w:rPr>
          <w:rFonts w:ascii="Arial" w:eastAsia="Times New Roman" w:hAnsi="Arial" w:cs="Arial"/>
          <w:snapToGrid w:val="0"/>
          <w:sz w:val="24"/>
          <w:szCs w:val="24"/>
        </w:rPr>
        <w:t xml:space="preserve">Work carried out by these GPs could be recharged by the lead employer. While the lead employer carries employment liabilities, much of the clinical activity would be recouped from practices and other </w:t>
      </w:r>
      <w:r w:rsidR="00C36F61">
        <w:rPr>
          <w:rFonts w:ascii="Arial" w:eastAsia="Times New Roman" w:hAnsi="Arial" w:cs="Arial"/>
          <w:snapToGrid w:val="0"/>
          <w:sz w:val="24"/>
          <w:szCs w:val="24"/>
        </w:rPr>
        <w:t>organisations</w:t>
      </w:r>
      <w:r>
        <w:rPr>
          <w:rFonts w:ascii="Arial" w:eastAsia="Times New Roman" w:hAnsi="Arial" w:cs="Arial"/>
          <w:snapToGrid w:val="0"/>
          <w:sz w:val="24"/>
          <w:szCs w:val="24"/>
        </w:rPr>
        <w:t xml:space="preserve"> which requested help.</w:t>
      </w:r>
    </w:p>
    <w:p w:rsidR="00B143D6" w:rsidRDefault="00B143D6" w:rsidP="001B31B3">
      <w:pPr>
        <w:spacing w:after="0"/>
        <w:contextualSpacing/>
        <w:rPr>
          <w:rFonts w:ascii="Arial" w:eastAsia="Times New Roman" w:hAnsi="Arial" w:cs="Arial"/>
          <w:snapToGrid w:val="0"/>
          <w:sz w:val="24"/>
          <w:szCs w:val="24"/>
        </w:rPr>
      </w:pPr>
    </w:p>
    <w:p w:rsidR="00B143D6" w:rsidRPr="003B0B60" w:rsidRDefault="00B143D6" w:rsidP="001B31B3">
      <w:pPr>
        <w:spacing w:after="0"/>
        <w:contextualSpacing/>
        <w:rPr>
          <w:rFonts w:ascii="Arial" w:eastAsia="Times New Roman" w:hAnsi="Arial" w:cs="Arial"/>
          <w:snapToGrid w:val="0"/>
          <w:sz w:val="24"/>
          <w:szCs w:val="24"/>
          <w:u w:val="single"/>
        </w:rPr>
      </w:pPr>
      <w:r w:rsidRPr="003B0B60">
        <w:rPr>
          <w:rFonts w:ascii="Arial" w:eastAsia="Times New Roman" w:hAnsi="Arial" w:cs="Arial"/>
          <w:snapToGrid w:val="0"/>
          <w:sz w:val="24"/>
          <w:szCs w:val="24"/>
          <w:u w:val="single"/>
        </w:rPr>
        <w:t>Assignments</w:t>
      </w:r>
    </w:p>
    <w:p w:rsidR="00B143D6" w:rsidRDefault="00B143D6" w:rsidP="001B31B3">
      <w:pPr>
        <w:spacing w:after="0"/>
        <w:contextualSpacing/>
        <w:rPr>
          <w:rFonts w:ascii="Arial" w:eastAsia="Times New Roman" w:hAnsi="Arial" w:cs="Arial"/>
          <w:snapToGrid w:val="0"/>
          <w:sz w:val="24"/>
          <w:szCs w:val="24"/>
        </w:rPr>
      </w:pPr>
    </w:p>
    <w:p w:rsidR="00B143D6" w:rsidRPr="00BB6F65" w:rsidRDefault="00B143D6" w:rsidP="00BB6F65">
      <w:pPr>
        <w:pStyle w:val="ListParagraph"/>
        <w:widowControl w:val="0"/>
        <w:numPr>
          <w:ilvl w:val="0"/>
          <w:numId w:val="9"/>
        </w:numPr>
        <w:spacing w:after="0"/>
        <w:rPr>
          <w:rFonts w:ascii="Arial" w:eastAsia="Times New Roman" w:hAnsi="Arial" w:cs="Arial"/>
          <w:snapToGrid w:val="0"/>
          <w:sz w:val="24"/>
          <w:szCs w:val="24"/>
        </w:rPr>
      </w:pPr>
      <w:r w:rsidRPr="00BB6F65">
        <w:rPr>
          <w:rFonts w:ascii="Arial" w:eastAsia="Times New Roman" w:hAnsi="Arial" w:cs="Arial"/>
          <w:snapToGrid w:val="0"/>
          <w:sz w:val="24"/>
          <w:szCs w:val="24"/>
        </w:rPr>
        <w:t>The GPs</w:t>
      </w:r>
      <w:r w:rsidR="003B0B60" w:rsidRPr="00BB6F65">
        <w:rPr>
          <w:rFonts w:ascii="Arial" w:eastAsia="Times New Roman" w:hAnsi="Arial" w:cs="Arial"/>
          <w:snapToGrid w:val="0"/>
          <w:sz w:val="24"/>
          <w:szCs w:val="24"/>
        </w:rPr>
        <w:t xml:space="preserve"> within the pool</w:t>
      </w:r>
      <w:r w:rsidRPr="00BB6F65">
        <w:rPr>
          <w:rFonts w:ascii="Arial" w:eastAsia="Times New Roman" w:hAnsi="Arial" w:cs="Arial"/>
          <w:snapToGrid w:val="0"/>
          <w:sz w:val="24"/>
          <w:szCs w:val="24"/>
        </w:rPr>
        <w:t xml:space="preserve"> could provide a range of services across the local system, which may include:</w:t>
      </w:r>
    </w:p>
    <w:p w:rsidR="00B143D6" w:rsidRPr="00B143D6" w:rsidRDefault="00B143D6" w:rsidP="001B31B3">
      <w:pPr>
        <w:spacing w:after="0"/>
        <w:contextualSpacing/>
        <w:rPr>
          <w:rFonts w:ascii="Arial" w:eastAsia="Times New Roman" w:hAnsi="Arial" w:cs="Arial"/>
          <w:snapToGrid w:val="0"/>
          <w:sz w:val="24"/>
          <w:szCs w:val="24"/>
        </w:rPr>
      </w:pPr>
    </w:p>
    <w:p w:rsidR="00B143D6" w:rsidRPr="00B143D6" w:rsidRDefault="002636B5" w:rsidP="00BB6F65">
      <w:pPr>
        <w:widowControl w:val="0"/>
        <w:numPr>
          <w:ilvl w:val="0"/>
          <w:numId w:val="14"/>
        </w:numPr>
        <w:spacing w:after="0"/>
        <w:contextualSpacing/>
        <w:rPr>
          <w:rFonts w:ascii="Arial" w:eastAsia="Calibri" w:hAnsi="Arial" w:cs="Arial"/>
          <w:sz w:val="24"/>
          <w:szCs w:val="24"/>
        </w:rPr>
      </w:pPr>
      <w:r>
        <w:rPr>
          <w:rFonts w:ascii="Arial" w:eastAsia="Times New Roman" w:hAnsi="Arial" w:cs="Arial"/>
          <w:snapToGrid w:val="0"/>
          <w:sz w:val="24"/>
          <w:szCs w:val="24"/>
        </w:rPr>
        <w:t>C</w:t>
      </w:r>
      <w:r w:rsidR="00B143D6" w:rsidRPr="00B143D6">
        <w:rPr>
          <w:rFonts w:ascii="Arial" w:eastAsia="Times New Roman" w:hAnsi="Arial" w:cs="Arial"/>
          <w:snapToGrid w:val="0"/>
          <w:sz w:val="24"/>
          <w:szCs w:val="24"/>
        </w:rPr>
        <w:t xml:space="preserve">linical </w:t>
      </w:r>
      <w:r w:rsidR="008628DA">
        <w:rPr>
          <w:rFonts w:ascii="Arial" w:eastAsia="Times New Roman" w:hAnsi="Arial" w:cs="Arial"/>
          <w:snapToGrid w:val="0"/>
          <w:sz w:val="24"/>
          <w:szCs w:val="24"/>
        </w:rPr>
        <w:t>capacity</w:t>
      </w:r>
      <w:r w:rsidR="008628DA" w:rsidRPr="00B143D6">
        <w:rPr>
          <w:rFonts w:ascii="Arial" w:eastAsia="Times New Roman" w:hAnsi="Arial" w:cs="Arial"/>
          <w:snapToGrid w:val="0"/>
          <w:sz w:val="24"/>
          <w:szCs w:val="24"/>
        </w:rPr>
        <w:t xml:space="preserve"> </w:t>
      </w:r>
      <w:r w:rsidR="00B143D6" w:rsidRPr="00B143D6">
        <w:rPr>
          <w:rFonts w:ascii="Arial" w:eastAsia="Times New Roman" w:hAnsi="Arial" w:cs="Arial"/>
          <w:snapToGrid w:val="0"/>
          <w:sz w:val="24"/>
          <w:szCs w:val="24"/>
        </w:rPr>
        <w:t>for practices to cover</w:t>
      </w:r>
      <w:r w:rsidR="008628DA">
        <w:rPr>
          <w:rFonts w:ascii="Arial" w:eastAsia="Times New Roman" w:hAnsi="Arial" w:cs="Arial"/>
          <w:snapToGrid w:val="0"/>
          <w:sz w:val="24"/>
          <w:szCs w:val="24"/>
        </w:rPr>
        <w:t>:</w:t>
      </w:r>
      <w:r w:rsidR="00B143D6" w:rsidRPr="00B143D6">
        <w:rPr>
          <w:rFonts w:ascii="Arial" w:eastAsia="Times New Roman" w:hAnsi="Arial" w:cs="Arial"/>
          <w:snapToGrid w:val="0"/>
          <w:sz w:val="24"/>
          <w:szCs w:val="24"/>
        </w:rPr>
        <w:t xml:space="preserve"> vacancies</w:t>
      </w:r>
      <w:r w:rsidR="008628DA">
        <w:rPr>
          <w:rFonts w:ascii="Arial" w:eastAsia="Times New Roman" w:hAnsi="Arial" w:cs="Arial"/>
          <w:snapToGrid w:val="0"/>
          <w:sz w:val="24"/>
          <w:szCs w:val="24"/>
        </w:rPr>
        <w:t>;</w:t>
      </w:r>
      <w:r w:rsidR="00B143D6" w:rsidRPr="00B143D6">
        <w:rPr>
          <w:rFonts w:ascii="Arial" w:eastAsia="Times New Roman" w:hAnsi="Arial" w:cs="Arial"/>
          <w:snapToGrid w:val="0"/>
          <w:sz w:val="24"/>
          <w:szCs w:val="24"/>
        </w:rPr>
        <w:t xml:space="preserve"> annual leave</w:t>
      </w:r>
      <w:r w:rsidR="008628DA">
        <w:rPr>
          <w:rFonts w:ascii="Arial" w:eastAsia="Times New Roman" w:hAnsi="Arial" w:cs="Arial"/>
          <w:snapToGrid w:val="0"/>
          <w:sz w:val="24"/>
          <w:szCs w:val="24"/>
        </w:rPr>
        <w:t>;</w:t>
      </w:r>
      <w:r w:rsidR="00B143D6" w:rsidRPr="00B143D6">
        <w:rPr>
          <w:rFonts w:ascii="Arial" w:eastAsia="Times New Roman" w:hAnsi="Arial" w:cs="Arial"/>
          <w:snapToGrid w:val="0"/>
          <w:sz w:val="24"/>
          <w:szCs w:val="24"/>
        </w:rPr>
        <w:t xml:space="preserve"> parental leave</w:t>
      </w:r>
      <w:r w:rsidR="008628DA">
        <w:rPr>
          <w:rFonts w:ascii="Arial" w:eastAsia="Times New Roman" w:hAnsi="Arial" w:cs="Arial"/>
          <w:snapToGrid w:val="0"/>
          <w:sz w:val="24"/>
          <w:szCs w:val="24"/>
        </w:rPr>
        <w:t>;</w:t>
      </w:r>
      <w:r w:rsidR="00B143D6" w:rsidRPr="00B143D6">
        <w:rPr>
          <w:rFonts w:ascii="Arial" w:eastAsia="Times New Roman" w:hAnsi="Arial" w:cs="Arial"/>
          <w:snapToGrid w:val="0"/>
          <w:sz w:val="24"/>
          <w:szCs w:val="24"/>
        </w:rPr>
        <w:t xml:space="preserve"> and sick cover</w:t>
      </w:r>
      <w:r>
        <w:rPr>
          <w:rFonts w:ascii="Arial" w:eastAsia="Times New Roman" w:hAnsi="Arial" w:cs="Arial"/>
          <w:snapToGrid w:val="0"/>
          <w:sz w:val="24"/>
          <w:szCs w:val="24"/>
        </w:rPr>
        <w:t>.</w:t>
      </w:r>
    </w:p>
    <w:p w:rsidR="00B143D6" w:rsidRPr="00B143D6" w:rsidRDefault="002636B5" w:rsidP="00BB6F65">
      <w:pPr>
        <w:widowControl w:val="0"/>
        <w:numPr>
          <w:ilvl w:val="0"/>
          <w:numId w:val="14"/>
        </w:numPr>
        <w:spacing w:after="0"/>
        <w:contextualSpacing/>
        <w:rPr>
          <w:rFonts w:ascii="Arial" w:eastAsia="Times New Roman" w:hAnsi="Arial" w:cs="Arial"/>
          <w:snapToGrid w:val="0"/>
          <w:sz w:val="24"/>
          <w:szCs w:val="24"/>
        </w:rPr>
      </w:pPr>
      <w:r>
        <w:rPr>
          <w:rFonts w:ascii="Arial" w:eastAsia="Calibri" w:hAnsi="Arial" w:cs="Arial"/>
          <w:sz w:val="24"/>
          <w:szCs w:val="24"/>
        </w:rPr>
        <w:t>S</w:t>
      </w:r>
      <w:r w:rsidR="00B143D6" w:rsidRPr="00B143D6">
        <w:rPr>
          <w:rFonts w:ascii="Arial" w:eastAsia="Calibri" w:hAnsi="Arial" w:cs="Arial"/>
          <w:sz w:val="24"/>
          <w:szCs w:val="24"/>
        </w:rPr>
        <w:t>pecific types of work e.g.</w:t>
      </w:r>
      <w:r w:rsidR="00F91A82">
        <w:rPr>
          <w:rFonts w:ascii="Arial" w:eastAsia="Calibri" w:hAnsi="Arial" w:cs="Arial"/>
          <w:sz w:val="24"/>
          <w:szCs w:val="24"/>
        </w:rPr>
        <w:t xml:space="preserve"> long term conditions,</w:t>
      </w:r>
      <w:r w:rsidR="00B143D6" w:rsidRPr="00B143D6">
        <w:rPr>
          <w:rFonts w:ascii="Arial" w:eastAsia="Calibri" w:hAnsi="Arial" w:cs="Arial"/>
          <w:sz w:val="24"/>
          <w:szCs w:val="24"/>
        </w:rPr>
        <w:t xml:space="preserve"> access hub sessions, home visits</w:t>
      </w:r>
      <w:r>
        <w:rPr>
          <w:rFonts w:ascii="Arial" w:eastAsia="Calibri" w:hAnsi="Arial" w:cs="Arial"/>
          <w:sz w:val="24"/>
          <w:szCs w:val="24"/>
        </w:rPr>
        <w:t>.</w:t>
      </w:r>
    </w:p>
    <w:p w:rsidR="00B143D6" w:rsidRPr="00B143D6" w:rsidRDefault="002636B5" w:rsidP="00BB6F65">
      <w:pPr>
        <w:widowControl w:val="0"/>
        <w:numPr>
          <w:ilvl w:val="0"/>
          <w:numId w:val="14"/>
        </w:numPr>
        <w:spacing w:after="0"/>
        <w:contextualSpacing/>
        <w:rPr>
          <w:rFonts w:ascii="Arial" w:eastAsia="Times New Roman" w:hAnsi="Arial" w:cs="Arial"/>
          <w:snapToGrid w:val="0"/>
          <w:sz w:val="24"/>
          <w:szCs w:val="24"/>
        </w:rPr>
      </w:pPr>
      <w:r>
        <w:rPr>
          <w:rFonts w:ascii="Arial" w:eastAsia="Times New Roman" w:hAnsi="Arial" w:cs="Arial"/>
          <w:snapToGrid w:val="0"/>
          <w:sz w:val="24"/>
          <w:szCs w:val="24"/>
        </w:rPr>
        <w:lastRenderedPageBreak/>
        <w:t>L</w:t>
      </w:r>
      <w:r w:rsidR="00B143D6" w:rsidRPr="00B143D6">
        <w:rPr>
          <w:rFonts w:ascii="Arial" w:eastAsia="Times New Roman" w:hAnsi="Arial" w:cs="Arial"/>
          <w:snapToGrid w:val="0"/>
          <w:sz w:val="24"/>
          <w:szCs w:val="24"/>
        </w:rPr>
        <w:t>eadership roles: clinical training, individual mentoring and coaching, innovation and change leadership, support for practices in cr</w:t>
      </w:r>
      <w:r>
        <w:rPr>
          <w:rFonts w:ascii="Arial" w:eastAsia="Times New Roman" w:hAnsi="Arial" w:cs="Arial"/>
          <w:snapToGrid w:val="0"/>
          <w:sz w:val="24"/>
          <w:szCs w:val="24"/>
        </w:rPr>
        <w:t>isis or in under-doctored areas.</w:t>
      </w:r>
    </w:p>
    <w:p w:rsidR="00B143D6" w:rsidRDefault="00B143D6" w:rsidP="001B31B3">
      <w:pPr>
        <w:spacing w:after="0"/>
        <w:contextualSpacing/>
        <w:rPr>
          <w:rFonts w:ascii="Arial" w:eastAsia="Times New Roman" w:hAnsi="Arial" w:cs="Arial"/>
          <w:snapToGrid w:val="0"/>
          <w:sz w:val="24"/>
          <w:szCs w:val="24"/>
        </w:rPr>
      </w:pPr>
    </w:p>
    <w:p w:rsidR="00F91A82" w:rsidRDefault="00B143D6" w:rsidP="00F91A82">
      <w:pPr>
        <w:spacing w:after="0"/>
        <w:contextualSpacing/>
        <w:rPr>
          <w:rFonts w:ascii="Arial" w:eastAsia="Times New Roman" w:hAnsi="Arial" w:cs="Arial"/>
          <w:i/>
          <w:snapToGrid w:val="0"/>
          <w:sz w:val="24"/>
          <w:szCs w:val="24"/>
        </w:rPr>
      </w:pPr>
      <w:r w:rsidRPr="00B143D6">
        <w:rPr>
          <w:rFonts w:ascii="Arial" w:eastAsia="Times New Roman" w:hAnsi="Arial" w:cs="Arial"/>
          <w:i/>
          <w:snapToGrid w:val="0"/>
          <w:sz w:val="24"/>
          <w:szCs w:val="24"/>
        </w:rPr>
        <w:t>E</w:t>
      </w:r>
      <w:r w:rsidR="00F76704" w:rsidRPr="00B143D6">
        <w:rPr>
          <w:rFonts w:ascii="Arial" w:eastAsia="Times New Roman" w:hAnsi="Arial" w:cs="Arial"/>
          <w:i/>
          <w:snapToGrid w:val="0"/>
          <w:sz w:val="24"/>
          <w:szCs w:val="24"/>
        </w:rPr>
        <w:t>xample</w:t>
      </w:r>
      <w:r w:rsidR="00291BC9">
        <w:rPr>
          <w:rFonts w:ascii="Arial" w:eastAsia="Times New Roman" w:hAnsi="Arial" w:cs="Arial"/>
          <w:i/>
          <w:snapToGrid w:val="0"/>
          <w:sz w:val="24"/>
          <w:szCs w:val="24"/>
        </w:rPr>
        <w:t xml:space="preserve"> 1</w:t>
      </w:r>
      <w:r>
        <w:rPr>
          <w:rFonts w:ascii="Arial" w:eastAsia="Times New Roman" w:hAnsi="Arial" w:cs="Arial"/>
          <w:i/>
          <w:snapToGrid w:val="0"/>
          <w:sz w:val="24"/>
          <w:szCs w:val="24"/>
        </w:rPr>
        <w:t>:</w:t>
      </w:r>
      <w:r w:rsidR="00F76704" w:rsidRPr="00B143D6">
        <w:rPr>
          <w:rFonts w:ascii="Arial" w:eastAsia="Times New Roman" w:hAnsi="Arial" w:cs="Arial"/>
          <w:i/>
          <w:snapToGrid w:val="0"/>
          <w:sz w:val="24"/>
          <w:szCs w:val="24"/>
        </w:rPr>
        <w:t xml:space="preserve"> </w:t>
      </w:r>
      <w:r w:rsidR="00F91A82" w:rsidRPr="00B143D6">
        <w:rPr>
          <w:rFonts w:ascii="Arial" w:eastAsia="Times New Roman" w:hAnsi="Arial" w:cs="Arial"/>
          <w:i/>
          <w:snapToGrid w:val="0"/>
          <w:sz w:val="24"/>
          <w:szCs w:val="24"/>
        </w:rPr>
        <w:t xml:space="preserve">GPs </w:t>
      </w:r>
      <w:r w:rsidR="00F91A82">
        <w:rPr>
          <w:rFonts w:ascii="Arial" w:eastAsia="Times New Roman" w:hAnsi="Arial" w:cs="Arial"/>
          <w:i/>
          <w:snapToGrid w:val="0"/>
          <w:sz w:val="24"/>
          <w:szCs w:val="24"/>
        </w:rPr>
        <w:t>might be recruited into the pool if</w:t>
      </w:r>
      <w:r w:rsidR="00F91A82" w:rsidRPr="00B143D6">
        <w:rPr>
          <w:rFonts w:ascii="Arial" w:eastAsia="Times New Roman" w:hAnsi="Arial" w:cs="Arial"/>
          <w:i/>
          <w:snapToGrid w:val="0"/>
          <w:sz w:val="24"/>
          <w:szCs w:val="24"/>
        </w:rPr>
        <w:t xml:space="preserve"> they have extensive experience of long terms conditions</w:t>
      </w:r>
      <w:r w:rsidR="00F91A82">
        <w:rPr>
          <w:rFonts w:ascii="Arial" w:eastAsia="Times New Roman" w:hAnsi="Arial" w:cs="Arial"/>
          <w:i/>
          <w:snapToGrid w:val="0"/>
          <w:sz w:val="24"/>
          <w:szCs w:val="24"/>
        </w:rPr>
        <w:t xml:space="preserve"> such as diabetes, heart failure or chronic respiratory disease. This enhanced service could be accommodated with extended appointment times </w:t>
      </w:r>
      <w:r w:rsidR="008628DA">
        <w:rPr>
          <w:rFonts w:ascii="Arial" w:eastAsia="Times New Roman" w:hAnsi="Arial" w:cs="Arial"/>
          <w:i/>
          <w:snapToGrid w:val="0"/>
          <w:sz w:val="24"/>
          <w:szCs w:val="24"/>
        </w:rPr>
        <w:t>where agreed</w:t>
      </w:r>
      <w:r w:rsidR="00F91A82">
        <w:rPr>
          <w:rFonts w:ascii="Arial" w:eastAsia="Times New Roman" w:hAnsi="Arial" w:cs="Arial"/>
          <w:i/>
          <w:snapToGrid w:val="0"/>
          <w:sz w:val="24"/>
          <w:szCs w:val="24"/>
        </w:rPr>
        <w:t xml:space="preserve">. </w:t>
      </w:r>
      <w:r w:rsidR="00F91A82" w:rsidRPr="00B143D6">
        <w:rPr>
          <w:rFonts w:ascii="Arial" w:eastAsia="Times New Roman" w:hAnsi="Arial" w:cs="Arial"/>
          <w:i/>
          <w:snapToGrid w:val="0"/>
          <w:sz w:val="24"/>
          <w:szCs w:val="24"/>
        </w:rPr>
        <w:t xml:space="preserve">The lead employer may </w:t>
      </w:r>
      <w:r w:rsidR="00F91A82">
        <w:rPr>
          <w:rFonts w:ascii="Arial" w:eastAsia="Times New Roman" w:hAnsi="Arial" w:cs="Arial"/>
          <w:i/>
          <w:snapToGrid w:val="0"/>
          <w:sz w:val="24"/>
          <w:szCs w:val="24"/>
        </w:rPr>
        <w:t xml:space="preserve">initiate these services in partnership with the GP within areas which have high numbers of complex patients. This would provide a flexible workforce which could respond to the needs of patients across multiple practice sites while offering a supportive and adapted employment option for these experienced GPs.  </w:t>
      </w:r>
    </w:p>
    <w:p w:rsidR="00F575EF" w:rsidRDefault="00F575EF" w:rsidP="00F551D1">
      <w:pPr>
        <w:spacing w:after="0"/>
        <w:contextualSpacing/>
        <w:rPr>
          <w:rFonts w:ascii="Arial" w:eastAsia="Times New Roman" w:hAnsi="Arial" w:cs="Arial"/>
          <w:i/>
          <w:snapToGrid w:val="0"/>
          <w:sz w:val="24"/>
          <w:szCs w:val="24"/>
        </w:rPr>
      </w:pPr>
    </w:p>
    <w:p w:rsidR="00E4663B" w:rsidRDefault="00291BC9" w:rsidP="00F551D1">
      <w:pPr>
        <w:spacing w:after="0"/>
        <w:contextualSpacing/>
        <w:rPr>
          <w:rFonts w:ascii="Arial" w:eastAsia="Times New Roman" w:hAnsi="Arial" w:cs="Arial"/>
          <w:i/>
          <w:snapToGrid w:val="0"/>
          <w:sz w:val="24"/>
          <w:szCs w:val="24"/>
        </w:rPr>
      </w:pPr>
      <w:r w:rsidRPr="00EF5AA8">
        <w:rPr>
          <w:rFonts w:ascii="Arial" w:eastAsia="Times New Roman" w:hAnsi="Arial" w:cs="Arial"/>
          <w:i/>
          <w:snapToGrid w:val="0"/>
          <w:sz w:val="24"/>
          <w:szCs w:val="24"/>
        </w:rPr>
        <w:t>Example</w:t>
      </w:r>
      <w:r w:rsidR="004D2EF1" w:rsidRPr="00EF5AA8">
        <w:rPr>
          <w:rFonts w:ascii="Arial" w:eastAsia="Times New Roman" w:hAnsi="Arial" w:cs="Arial"/>
          <w:i/>
          <w:snapToGrid w:val="0"/>
          <w:sz w:val="24"/>
          <w:szCs w:val="24"/>
        </w:rPr>
        <w:t xml:space="preserve"> </w:t>
      </w:r>
      <w:r w:rsidRPr="00EF5AA8">
        <w:rPr>
          <w:rFonts w:ascii="Arial" w:eastAsia="Times New Roman" w:hAnsi="Arial" w:cs="Arial"/>
          <w:i/>
          <w:snapToGrid w:val="0"/>
          <w:sz w:val="24"/>
          <w:szCs w:val="24"/>
        </w:rPr>
        <w:t xml:space="preserve">2: </w:t>
      </w:r>
      <w:r w:rsidR="00E4663B" w:rsidRPr="00EF5AA8">
        <w:rPr>
          <w:rFonts w:ascii="Arial" w:eastAsia="Times New Roman" w:hAnsi="Arial" w:cs="Arial"/>
          <w:i/>
          <w:snapToGrid w:val="0"/>
          <w:sz w:val="24"/>
          <w:szCs w:val="24"/>
        </w:rPr>
        <w:t>A GP wishes to undertake specialised clinical sessions with patients with long term conditions and also undertake teaching / mentoring across the health system supporting less experienced GPs. The lead employer agrees to employ this GP on</w:t>
      </w:r>
      <w:r w:rsidR="00E4663B">
        <w:rPr>
          <w:rFonts w:ascii="Arial" w:eastAsia="Times New Roman" w:hAnsi="Arial" w:cs="Arial"/>
          <w:i/>
          <w:snapToGrid w:val="0"/>
          <w:sz w:val="24"/>
          <w:szCs w:val="24"/>
        </w:rPr>
        <w:t xml:space="preserve"> the condition that they undertake four standard clinical sessions a week to complement the other five sessions.  </w:t>
      </w:r>
    </w:p>
    <w:p w:rsidR="00CC6B68" w:rsidRDefault="00CC6B68" w:rsidP="00F551D1">
      <w:pPr>
        <w:spacing w:after="0"/>
        <w:contextualSpacing/>
        <w:rPr>
          <w:rFonts w:ascii="Arial" w:eastAsia="Times New Roman" w:hAnsi="Arial" w:cs="Arial"/>
          <w:i/>
          <w:snapToGrid w:val="0"/>
          <w:sz w:val="24"/>
          <w:szCs w:val="24"/>
        </w:rPr>
      </w:pPr>
    </w:p>
    <w:p w:rsidR="007A1456" w:rsidRDefault="007A1456" w:rsidP="001B31B3">
      <w:pPr>
        <w:rPr>
          <w:rFonts w:ascii="Arial" w:hAnsi="Arial" w:cs="Arial"/>
          <w:b/>
          <w:sz w:val="24"/>
          <w:szCs w:val="24"/>
        </w:rPr>
      </w:pPr>
      <w:r>
        <w:rPr>
          <w:rFonts w:ascii="Arial" w:hAnsi="Arial" w:cs="Arial"/>
          <w:b/>
          <w:sz w:val="24"/>
          <w:szCs w:val="24"/>
        </w:rPr>
        <w:t>Implementation</w:t>
      </w:r>
    </w:p>
    <w:p w:rsidR="00AD2D9B" w:rsidRDefault="00AD2D9B" w:rsidP="00BB6F65">
      <w:pPr>
        <w:pStyle w:val="ListParagraph"/>
        <w:numPr>
          <w:ilvl w:val="0"/>
          <w:numId w:val="9"/>
        </w:numPr>
        <w:rPr>
          <w:rFonts w:ascii="Arial" w:hAnsi="Arial" w:cs="Arial"/>
          <w:sz w:val="24"/>
          <w:szCs w:val="24"/>
        </w:rPr>
      </w:pPr>
      <w:r>
        <w:rPr>
          <w:rFonts w:ascii="Arial" w:hAnsi="Arial" w:cs="Arial"/>
          <w:sz w:val="24"/>
          <w:szCs w:val="24"/>
        </w:rPr>
        <w:t>There is more work to refine the costs and implementation model, but our current thinking is:</w:t>
      </w:r>
    </w:p>
    <w:p w:rsidR="00AD2D9B" w:rsidRDefault="00AD2D9B" w:rsidP="00AD2D9B">
      <w:pPr>
        <w:pStyle w:val="ListParagraph"/>
        <w:rPr>
          <w:rFonts w:ascii="Arial" w:hAnsi="Arial" w:cs="Arial"/>
          <w:sz w:val="24"/>
          <w:szCs w:val="24"/>
        </w:rPr>
      </w:pPr>
    </w:p>
    <w:p w:rsidR="00AD2D9B" w:rsidRDefault="00AD2D9B" w:rsidP="00AD2D9B">
      <w:pPr>
        <w:pStyle w:val="ListParagraph"/>
        <w:numPr>
          <w:ilvl w:val="1"/>
          <w:numId w:val="9"/>
        </w:numPr>
        <w:rPr>
          <w:rFonts w:ascii="Arial" w:hAnsi="Arial" w:cs="Arial"/>
          <w:sz w:val="24"/>
          <w:szCs w:val="24"/>
        </w:rPr>
      </w:pPr>
      <w:r>
        <w:rPr>
          <w:rFonts w:ascii="Arial" w:hAnsi="Arial" w:cs="Arial"/>
          <w:sz w:val="24"/>
          <w:szCs w:val="24"/>
        </w:rPr>
        <w:t>We would kickstart the programme by contributing to the costs of these GPs – potentially around £12-20K per GP.   For £1 million investment in 17/18 we could secure around an extra 50-85 GPs, focused at</w:t>
      </w:r>
      <w:r w:rsidR="00072ECC">
        <w:rPr>
          <w:rFonts w:ascii="Arial" w:hAnsi="Arial" w:cs="Arial"/>
          <w:sz w:val="24"/>
          <w:szCs w:val="24"/>
        </w:rPr>
        <w:t>, say, the five</w:t>
      </w:r>
      <w:r>
        <w:rPr>
          <w:rFonts w:ascii="Arial" w:hAnsi="Arial" w:cs="Arial"/>
          <w:sz w:val="24"/>
          <w:szCs w:val="24"/>
        </w:rPr>
        <w:t xml:space="preserve"> areas of greatest need.    This is affordable from within our current nationally held budgets for workforce.  </w:t>
      </w:r>
    </w:p>
    <w:p w:rsidR="00AD2D9B" w:rsidRDefault="00AD2D9B" w:rsidP="00AD2D9B">
      <w:pPr>
        <w:pStyle w:val="ListParagraph"/>
        <w:ind w:left="1440"/>
        <w:rPr>
          <w:rFonts w:ascii="Arial" w:hAnsi="Arial" w:cs="Arial"/>
          <w:sz w:val="24"/>
          <w:szCs w:val="24"/>
        </w:rPr>
      </w:pPr>
    </w:p>
    <w:p w:rsidR="005C4CD5" w:rsidRDefault="00AD2D9B" w:rsidP="00AD2D9B">
      <w:pPr>
        <w:pStyle w:val="ListParagraph"/>
        <w:numPr>
          <w:ilvl w:val="1"/>
          <w:numId w:val="9"/>
        </w:numPr>
        <w:rPr>
          <w:rFonts w:ascii="Arial" w:hAnsi="Arial" w:cs="Arial"/>
          <w:sz w:val="24"/>
          <w:szCs w:val="24"/>
        </w:rPr>
      </w:pPr>
      <w:r>
        <w:rPr>
          <w:rFonts w:ascii="Arial" w:hAnsi="Arial" w:cs="Arial"/>
          <w:sz w:val="24"/>
          <w:szCs w:val="24"/>
        </w:rPr>
        <w:t>We would assess the extent to which this was a sufficiently attractive offer to increase overall clinical capacity in the system, and did not destabilise local practices.</w:t>
      </w:r>
    </w:p>
    <w:p w:rsidR="00AD2D9B" w:rsidRPr="00AD2D9B" w:rsidRDefault="00AD2D9B" w:rsidP="00AD2D9B">
      <w:pPr>
        <w:pStyle w:val="ListParagraph"/>
        <w:rPr>
          <w:rFonts w:ascii="Arial" w:hAnsi="Arial" w:cs="Arial"/>
          <w:sz w:val="24"/>
          <w:szCs w:val="24"/>
        </w:rPr>
      </w:pPr>
    </w:p>
    <w:p w:rsidR="00AD2D9B" w:rsidRDefault="00AD2D9B" w:rsidP="00AD2D9B">
      <w:pPr>
        <w:pStyle w:val="ListParagraph"/>
        <w:numPr>
          <w:ilvl w:val="1"/>
          <w:numId w:val="9"/>
        </w:numPr>
        <w:rPr>
          <w:rFonts w:ascii="Arial" w:hAnsi="Arial" w:cs="Arial"/>
          <w:sz w:val="24"/>
          <w:szCs w:val="24"/>
        </w:rPr>
      </w:pPr>
      <w:r>
        <w:rPr>
          <w:rFonts w:ascii="Arial" w:hAnsi="Arial" w:cs="Arial"/>
          <w:sz w:val="24"/>
          <w:szCs w:val="24"/>
        </w:rPr>
        <w:t>In light of that, we would look to promote it in parts of the country with the highest ratios of 55-59 year old doctors; and potentially offer further support.</w:t>
      </w:r>
      <w:r w:rsidR="00072ECC">
        <w:rPr>
          <w:rFonts w:ascii="Arial" w:hAnsi="Arial" w:cs="Arial"/>
          <w:sz w:val="24"/>
          <w:szCs w:val="24"/>
        </w:rPr>
        <w:t xml:space="preserve">  In the long-run the model would need to be able to be sufficiently beneficial to be funded by local systems – recognising that it could be cheaper than reliance on locums or squeezing capacity in general practice to such an extent that people turn to the acute sector instead.</w:t>
      </w:r>
    </w:p>
    <w:p w:rsidR="00AD2D9B" w:rsidRDefault="00AD2D9B" w:rsidP="00AD2D9B">
      <w:pPr>
        <w:pStyle w:val="ListParagraph"/>
        <w:ind w:left="1440"/>
        <w:rPr>
          <w:rFonts w:ascii="Arial" w:hAnsi="Arial" w:cs="Arial"/>
          <w:sz w:val="24"/>
          <w:szCs w:val="24"/>
        </w:rPr>
      </w:pPr>
    </w:p>
    <w:sectPr w:rsidR="00AD2D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12" w:rsidRDefault="00DF0012" w:rsidP="00375DE0">
      <w:pPr>
        <w:spacing w:after="0" w:line="240" w:lineRule="auto"/>
      </w:pPr>
      <w:r>
        <w:separator/>
      </w:r>
    </w:p>
  </w:endnote>
  <w:endnote w:type="continuationSeparator" w:id="0">
    <w:p w:rsidR="00DF0012" w:rsidRDefault="00DF0012" w:rsidP="0037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12" w:rsidRDefault="00DF0012" w:rsidP="00375DE0">
      <w:pPr>
        <w:spacing w:after="0" w:line="240" w:lineRule="auto"/>
      </w:pPr>
      <w:r>
        <w:separator/>
      </w:r>
    </w:p>
  </w:footnote>
  <w:footnote w:type="continuationSeparator" w:id="0">
    <w:p w:rsidR="00DF0012" w:rsidRDefault="00DF0012" w:rsidP="00375DE0">
      <w:pPr>
        <w:spacing w:after="0" w:line="240" w:lineRule="auto"/>
      </w:pPr>
      <w:r>
        <w:continuationSeparator/>
      </w:r>
    </w:p>
  </w:footnote>
  <w:footnote w:id="1">
    <w:p w:rsidR="001900AC" w:rsidRDefault="001900AC">
      <w:pPr>
        <w:pStyle w:val="FootnoteText"/>
      </w:pPr>
      <w:r>
        <w:rPr>
          <w:rStyle w:val="FootnoteReference"/>
        </w:rPr>
        <w:footnoteRef/>
      </w:r>
      <w:r>
        <w:t xml:space="preserve"> </w:t>
      </w:r>
      <w:r w:rsidRPr="008610A3">
        <w:rPr>
          <w:rFonts w:cs="Arial"/>
          <w:sz w:val="16"/>
        </w:rPr>
        <w:t>Worsley and Cook (2015) Research on the recruitment, retention and return of GPs in England. Ipsos MORI</w:t>
      </w:r>
      <w:r>
        <w:rPr>
          <w:rFonts w:cs="Arial"/>
          <w:sz w:val="16"/>
        </w:rPr>
        <w:t xml:space="preserve">. </w:t>
      </w:r>
      <w:r w:rsidR="00A475AE">
        <w:rPr>
          <w:rFonts w:cs="Arial"/>
          <w:sz w:val="16"/>
        </w:rPr>
        <w:t>Peckham, Marchand and Peckham (2015) General practitioner recruitment and retention: An evidence synthesis. PRUComm.</w:t>
      </w:r>
    </w:p>
  </w:footnote>
  <w:footnote w:id="2">
    <w:p w:rsidR="00A32490" w:rsidRDefault="00A32490">
      <w:pPr>
        <w:pStyle w:val="FootnoteText"/>
      </w:pPr>
      <w:r>
        <w:rPr>
          <w:rStyle w:val="FootnoteReference"/>
        </w:rPr>
        <w:footnoteRef/>
      </w:r>
      <w:r>
        <w:t xml:space="preserve"> </w:t>
      </w:r>
      <w:r w:rsidRPr="008610A3">
        <w:rPr>
          <w:rFonts w:cs="Arial"/>
          <w:sz w:val="16"/>
        </w:rPr>
        <w:t>Worsley and Cook (2015) Research on the recruitment, retention and return of GPs in England. Ipsos MORI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91D"/>
    <w:multiLevelType w:val="hybridMultilevel"/>
    <w:tmpl w:val="391EC1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FD5CAC"/>
    <w:multiLevelType w:val="hybridMultilevel"/>
    <w:tmpl w:val="6406CAE8"/>
    <w:lvl w:ilvl="0" w:tplc="3502030C">
      <w:start w:val="4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627E9"/>
    <w:multiLevelType w:val="hybridMultilevel"/>
    <w:tmpl w:val="7E2E4A5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FC0AA6"/>
    <w:multiLevelType w:val="hybridMultilevel"/>
    <w:tmpl w:val="64660B1E"/>
    <w:lvl w:ilvl="0" w:tplc="F2BE044A">
      <w:start w:val="1"/>
      <w:numFmt w:val="bullet"/>
      <w:lvlText w:val="•"/>
      <w:lvlJc w:val="left"/>
      <w:pPr>
        <w:tabs>
          <w:tab w:val="num" w:pos="720"/>
        </w:tabs>
        <w:ind w:left="720" w:hanging="360"/>
      </w:pPr>
      <w:rPr>
        <w:rFonts w:ascii="Arial" w:hAnsi="Arial" w:hint="default"/>
      </w:rPr>
    </w:lvl>
    <w:lvl w:ilvl="1" w:tplc="02DC2D56" w:tentative="1">
      <w:start w:val="1"/>
      <w:numFmt w:val="bullet"/>
      <w:lvlText w:val="•"/>
      <w:lvlJc w:val="left"/>
      <w:pPr>
        <w:tabs>
          <w:tab w:val="num" w:pos="1440"/>
        </w:tabs>
        <w:ind w:left="1440" w:hanging="360"/>
      </w:pPr>
      <w:rPr>
        <w:rFonts w:ascii="Arial" w:hAnsi="Arial" w:hint="default"/>
      </w:rPr>
    </w:lvl>
    <w:lvl w:ilvl="2" w:tplc="828A52A0" w:tentative="1">
      <w:start w:val="1"/>
      <w:numFmt w:val="bullet"/>
      <w:lvlText w:val="•"/>
      <w:lvlJc w:val="left"/>
      <w:pPr>
        <w:tabs>
          <w:tab w:val="num" w:pos="2160"/>
        </w:tabs>
        <w:ind w:left="2160" w:hanging="360"/>
      </w:pPr>
      <w:rPr>
        <w:rFonts w:ascii="Arial" w:hAnsi="Arial" w:hint="default"/>
      </w:rPr>
    </w:lvl>
    <w:lvl w:ilvl="3" w:tplc="14CC5102" w:tentative="1">
      <w:start w:val="1"/>
      <w:numFmt w:val="bullet"/>
      <w:lvlText w:val="•"/>
      <w:lvlJc w:val="left"/>
      <w:pPr>
        <w:tabs>
          <w:tab w:val="num" w:pos="2880"/>
        </w:tabs>
        <w:ind w:left="2880" w:hanging="360"/>
      </w:pPr>
      <w:rPr>
        <w:rFonts w:ascii="Arial" w:hAnsi="Arial" w:hint="default"/>
      </w:rPr>
    </w:lvl>
    <w:lvl w:ilvl="4" w:tplc="42B0D3DC" w:tentative="1">
      <w:start w:val="1"/>
      <w:numFmt w:val="bullet"/>
      <w:lvlText w:val="•"/>
      <w:lvlJc w:val="left"/>
      <w:pPr>
        <w:tabs>
          <w:tab w:val="num" w:pos="3600"/>
        </w:tabs>
        <w:ind w:left="3600" w:hanging="360"/>
      </w:pPr>
      <w:rPr>
        <w:rFonts w:ascii="Arial" w:hAnsi="Arial" w:hint="default"/>
      </w:rPr>
    </w:lvl>
    <w:lvl w:ilvl="5" w:tplc="26060AEA" w:tentative="1">
      <w:start w:val="1"/>
      <w:numFmt w:val="bullet"/>
      <w:lvlText w:val="•"/>
      <w:lvlJc w:val="left"/>
      <w:pPr>
        <w:tabs>
          <w:tab w:val="num" w:pos="4320"/>
        </w:tabs>
        <w:ind w:left="4320" w:hanging="360"/>
      </w:pPr>
      <w:rPr>
        <w:rFonts w:ascii="Arial" w:hAnsi="Arial" w:hint="default"/>
      </w:rPr>
    </w:lvl>
    <w:lvl w:ilvl="6" w:tplc="06983BFA" w:tentative="1">
      <w:start w:val="1"/>
      <w:numFmt w:val="bullet"/>
      <w:lvlText w:val="•"/>
      <w:lvlJc w:val="left"/>
      <w:pPr>
        <w:tabs>
          <w:tab w:val="num" w:pos="5040"/>
        </w:tabs>
        <w:ind w:left="5040" w:hanging="360"/>
      </w:pPr>
      <w:rPr>
        <w:rFonts w:ascii="Arial" w:hAnsi="Arial" w:hint="default"/>
      </w:rPr>
    </w:lvl>
    <w:lvl w:ilvl="7" w:tplc="5224B758" w:tentative="1">
      <w:start w:val="1"/>
      <w:numFmt w:val="bullet"/>
      <w:lvlText w:val="•"/>
      <w:lvlJc w:val="left"/>
      <w:pPr>
        <w:tabs>
          <w:tab w:val="num" w:pos="5760"/>
        </w:tabs>
        <w:ind w:left="5760" w:hanging="360"/>
      </w:pPr>
      <w:rPr>
        <w:rFonts w:ascii="Arial" w:hAnsi="Arial" w:hint="default"/>
      </w:rPr>
    </w:lvl>
    <w:lvl w:ilvl="8" w:tplc="59A8DD24" w:tentative="1">
      <w:start w:val="1"/>
      <w:numFmt w:val="bullet"/>
      <w:lvlText w:val="•"/>
      <w:lvlJc w:val="left"/>
      <w:pPr>
        <w:tabs>
          <w:tab w:val="num" w:pos="6480"/>
        </w:tabs>
        <w:ind w:left="6480" w:hanging="360"/>
      </w:pPr>
      <w:rPr>
        <w:rFonts w:ascii="Arial" w:hAnsi="Arial" w:hint="default"/>
      </w:rPr>
    </w:lvl>
  </w:abstractNum>
  <w:abstractNum w:abstractNumId="4">
    <w:nsid w:val="30A44154"/>
    <w:multiLevelType w:val="hybridMultilevel"/>
    <w:tmpl w:val="ED1C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E67A8"/>
    <w:multiLevelType w:val="hybridMultilevel"/>
    <w:tmpl w:val="D01678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475399C"/>
    <w:multiLevelType w:val="hybridMultilevel"/>
    <w:tmpl w:val="98D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9C3232"/>
    <w:multiLevelType w:val="hybridMultilevel"/>
    <w:tmpl w:val="D8CEDB7E"/>
    <w:lvl w:ilvl="0" w:tplc="29608AF6">
      <w:start w:val="1"/>
      <w:numFmt w:val="bullet"/>
      <w:lvlText w:val="•"/>
      <w:lvlJc w:val="left"/>
      <w:pPr>
        <w:tabs>
          <w:tab w:val="num" w:pos="720"/>
        </w:tabs>
        <w:ind w:left="720" w:hanging="360"/>
      </w:pPr>
      <w:rPr>
        <w:rFonts w:ascii="Arial" w:hAnsi="Arial" w:hint="default"/>
      </w:rPr>
    </w:lvl>
    <w:lvl w:ilvl="1" w:tplc="727A193A" w:tentative="1">
      <w:start w:val="1"/>
      <w:numFmt w:val="bullet"/>
      <w:lvlText w:val="•"/>
      <w:lvlJc w:val="left"/>
      <w:pPr>
        <w:tabs>
          <w:tab w:val="num" w:pos="1440"/>
        </w:tabs>
        <w:ind w:left="1440" w:hanging="360"/>
      </w:pPr>
      <w:rPr>
        <w:rFonts w:ascii="Arial" w:hAnsi="Arial" w:hint="default"/>
      </w:rPr>
    </w:lvl>
    <w:lvl w:ilvl="2" w:tplc="3CCE1034" w:tentative="1">
      <w:start w:val="1"/>
      <w:numFmt w:val="bullet"/>
      <w:lvlText w:val="•"/>
      <w:lvlJc w:val="left"/>
      <w:pPr>
        <w:tabs>
          <w:tab w:val="num" w:pos="2160"/>
        </w:tabs>
        <w:ind w:left="2160" w:hanging="360"/>
      </w:pPr>
      <w:rPr>
        <w:rFonts w:ascii="Arial" w:hAnsi="Arial" w:hint="default"/>
      </w:rPr>
    </w:lvl>
    <w:lvl w:ilvl="3" w:tplc="0BB4566A" w:tentative="1">
      <w:start w:val="1"/>
      <w:numFmt w:val="bullet"/>
      <w:lvlText w:val="•"/>
      <w:lvlJc w:val="left"/>
      <w:pPr>
        <w:tabs>
          <w:tab w:val="num" w:pos="2880"/>
        </w:tabs>
        <w:ind w:left="2880" w:hanging="360"/>
      </w:pPr>
      <w:rPr>
        <w:rFonts w:ascii="Arial" w:hAnsi="Arial" w:hint="default"/>
      </w:rPr>
    </w:lvl>
    <w:lvl w:ilvl="4" w:tplc="A22AC12A" w:tentative="1">
      <w:start w:val="1"/>
      <w:numFmt w:val="bullet"/>
      <w:lvlText w:val="•"/>
      <w:lvlJc w:val="left"/>
      <w:pPr>
        <w:tabs>
          <w:tab w:val="num" w:pos="3600"/>
        </w:tabs>
        <w:ind w:left="3600" w:hanging="360"/>
      </w:pPr>
      <w:rPr>
        <w:rFonts w:ascii="Arial" w:hAnsi="Arial" w:hint="default"/>
      </w:rPr>
    </w:lvl>
    <w:lvl w:ilvl="5" w:tplc="F282FD20" w:tentative="1">
      <w:start w:val="1"/>
      <w:numFmt w:val="bullet"/>
      <w:lvlText w:val="•"/>
      <w:lvlJc w:val="left"/>
      <w:pPr>
        <w:tabs>
          <w:tab w:val="num" w:pos="4320"/>
        </w:tabs>
        <w:ind w:left="4320" w:hanging="360"/>
      </w:pPr>
      <w:rPr>
        <w:rFonts w:ascii="Arial" w:hAnsi="Arial" w:hint="default"/>
      </w:rPr>
    </w:lvl>
    <w:lvl w:ilvl="6" w:tplc="51B29F58" w:tentative="1">
      <w:start w:val="1"/>
      <w:numFmt w:val="bullet"/>
      <w:lvlText w:val="•"/>
      <w:lvlJc w:val="left"/>
      <w:pPr>
        <w:tabs>
          <w:tab w:val="num" w:pos="5040"/>
        </w:tabs>
        <w:ind w:left="5040" w:hanging="360"/>
      </w:pPr>
      <w:rPr>
        <w:rFonts w:ascii="Arial" w:hAnsi="Arial" w:hint="default"/>
      </w:rPr>
    </w:lvl>
    <w:lvl w:ilvl="7" w:tplc="98AA2A28" w:tentative="1">
      <w:start w:val="1"/>
      <w:numFmt w:val="bullet"/>
      <w:lvlText w:val="•"/>
      <w:lvlJc w:val="left"/>
      <w:pPr>
        <w:tabs>
          <w:tab w:val="num" w:pos="5760"/>
        </w:tabs>
        <w:ind w:left="5760" w:hanging="360"/>
      </w:pPr>
      <w:rPr>
        <w:rFonts w:ascii="Arial" w:hAnsi="Arial" w:hint="default"/>
      </w:rPr>
    </w:lvl>
    <w:lvl w:ilvl="8" w:tplc="93BCFC2C" w:tentative="1">
      <w:start w:val="1"/>
      <w:numFmt w:val="bullet"/>
      <w:lvlText w:val="•"/>
      <w:lvlJc w:val="left"/>
      <w:pPr>
        <w:tabs>
          <w:tab w:val="num" w:pos="6480"/>
        </w:tabs>
        <w:ind w:left="6480" w:hanging="360"/>
      </w:pPr>
      <w:rPr>
        <w:rFonts w:ascii="Arial" w:hAnsi="Arial" w:hint="default"/>
      </w:rPr>
    </w:lvl>
  </w:abstractNum>
  <w:abstractNum w:abstractNumId="8">
    <w:nsid w:val="3D8F64B8"/>
    <w:multiLevelType w:val="hybridMultilevel"/>
    <w:tmpl w:val="6E00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B138EA"/>
    <w:multiLevelType w:val="hybridMultilevel"/>
    <w:tmpl w:val="5A8E8142"/>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E30B10"/>
    <w:multiLevelType w:val="hybridMultilevel"/>
    <w:tmpl w:val="0B7C0D5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5710E7D"/>
    <w:multiLevelType w:val="hybridMultilevel"/>
    <w:tmpl w:val="FC6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A44D7F"/>
    <w:multiLevelType w:val="hybridMultilevel"/>
    <w:tmpl w:val="2AFEC3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3761B3"/>
    <w:multiLevelType w:val="hybridMultilevel"/>
    <w:tmpl w:val="A966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066E99"/>
    <w:multiLevelType w:val="hybridMultilevel"/>
    <w:tmpl w:val="3FC6EB0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9A10FCF"/>
    <w:multiLevelType w:val="hybridMultilevel"/>
    <w:tmpl w:val="68E0B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5"/>
  </w:num>
  <w:num w:numId="6">
    <w:abstractNumId w:val="13"/>
  </w:num>
  <w:num w:numId="7">
    <w:abstractNumId w:val="4"/>
  </w:num>
  <w:num w:numId="8">
    <w:abstractNumId w:val="11"/>
  </w:num>
  <w:num w:numId="9">
    <w:abstractNumId w:val="12"/>
  </w:num>
  <w:num w:numId="10">
    <w:abstractNumId w:val="15"/>
  </w:num>
  <w:num w:numId="11">
    <w:abstractNumId w:val="2"/>
  </w:num>
  <w:num w:numId="12">
    <w:abstractNumId w:val="10"/>
  </w:num>
  <w:num w:numId="13">
    <w:abstractNumId w:val="0"/>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AF"/>
    <w:rsid w:val="000307D2"/>
    <w:rsid w:val="00072ECC"/>
    <w:rsid w:val="0007793E"/>
    <w:rsid w:val="00086559"/>
    <w:rsid w:val="00090A2F"/>
    <w:rsid w:val="000A6569"/>
    <w:rsid w:val="000D2671"/>
    <w:rsid w:val="0011540C"/>
    <w:rsid w:val="00120540"/>
    <w:rsid w:val="00141C7E"/>
    <w:rsid w:val="00153B7E"/>
    <w:rsid w:val="0016407B"/>
    <w:rsid w:val="00170CC5"/>
    <w:rsid w:val="0017783C"/>
    <w:rsid w:val="001900AC"/>
    <w:rsid w:val="00196180"/>
    <w:rsid w:val="001B31B3"/>
    <w:rsid w:val="001F01C8"/>
    <w:rsid w:val="00237EBC"/>
    <w:rsid w:val="00241169"/>
    <w:rsid w:val="002636B5"/>
    <w:rsid w:val="002653ED"/>
    <w:rsid w:val="00291BC9"/>
    <w:rsid w:val="00295361"/>
    <w:rsid w:val="002B5E93"/>
    <w:rsid w:val="002D1AD6"/>
    <w:rsid w:val="002D2EAB"/>
    <w:rsid w:val="002E0A49"/>
    <w:rsid w:val="00330B91"/>
    <w:rsid w:val="00340153"/>
    <w:rsid w:val="00370B70"/>
    <w:rsid w:val="00375DE0"/>
    <w:rsid w:val="00377FEC"/>
    <w:rsid w:val="00383570"/>
    <w:rsid w:val="00397049"/>
    <w:rsid w:val="003B0B60"/>
    <w:rsid w:val="003E131E"/>
    <w:rsid w:val="00445CF2"/>
    <w:rsid w:val="004467EB"/>
    <w:rsid w:val="00455C1D"/>
    <w:rsid w:val="004615E7"/>
    <w:rsid w:val="00466172"/>
    <w:rsid w:val="00485AC8"/>
    <w:rsid w:val="004C3B7A"/>
    <w:rsid w:val="004D2EF1"/>
    <w:rsid w:val="00505DA8"/>
    <w:rsid w:val="005235A1"/>
    <w:rsid w:val="0059777A"/>
    <w:rsid w:val="005A2477"/>
    <w:rsid w:val="005C1AB1"/>
    <w:rsid w:val="005C4CD5"/>
    <w:rsid w:val="006070F2"/>
    <w:rsid w:val="00607DE2"/>
    <w:rsid w:val="006269DB"/>
    <w:rsid w:val="00635B55"/>
    <w:rsid w:val="006563BF"/>
    <w:rsid w:val="006612C2"/>
    <w:rsid w:val="006709C2"/>
    <w:rsid w:val="006B3215"/>
    <w:rsid w:val="006E5027"/>
    <w:rsid w:val="006F2A6A"/>
    <w:rsid w:val="006F31DD"/>
    <w:rsid w:val="00724A22"/>
    <w:rsid w:val="007530C3"/>
    <w:rsid w:val="00775FE0"/>
    <w:rsid w:val="007969C9"/>
    <w:rsid w:val="007A1456"/>
    <w:rsid w:val="007A4659"/>
    <w:rsid w:val="007B0AB8"/>
    <w:rsid w:val="007B5E96"/>
    <w:rsid w:val="00810DBD"/>
    <w:rsid w:val="00814614"/>
    <w:rsid w:val="008228B7"/>
    <w:rsid w:val="008628DA"/>
    <w:rsid w:val="00894DD1"/>
    <w:rsid w:val="0091208A"/>
    <w:rsid w:val="00914A56"/>
    <w:rsid w:val="0092167E"/>
    <w:rsid w:val="00964BDB"/>
    <w:rsid w:val="00971510"/>
    <w:rsid w:val="0098325B"/>
    <w:rsid w:val="009915D4"/>
    <w:rsid w:val="009F594A"/>
    <w:rsid w:val="00A32490"/>
    <w:rsid w:val="00A43449"/>
    <w:rsid w:val="00A475AE"/>
    <w:rsid w:val="00A53F84"/>
    <w:rsid w:val="00A66FC9"/>
    <w:rsid w:val="00A910BB"/>
    <w:rsid w:val="00AB2E50"/>
    <w:rsid w:val="00AB51AB"/>
    <w:rsid w:val="00AD2D9B"/>
    <w:rsid w:val="00B143D6"/>
    <w:rsid w:val="00B200CE"/>
    <w:rsid w:val="00B46DAF"/>
    <w:rsid w:val="00B731AF"/>
    <w:rsid w:val="00B8359F"/>
    <w:rsid w:val="00BB6F65"/>
    <w:rsid w:val="00BC6914"/>
    <w:rsid w:val="00C201D8"/>
    <w:rsid w:val="00C351DB"/>
    <w:rsid w:val="00C36F61"/>
    <w:rsid w:val="00C77B28"/>
    <w:rsid w:val="00C84C7B"/>
    <w:rsid w:val="00CA3BAF"/>
    <w:rsid w:val="00CA7F9B"/>
    <w:rsid w:val="00CC6B68"/>
    <w:rsid w:val="00D14D39"/>
    <w:rsid w:val="00D53E40"/>
    <w:rsid w:val="00D86E41"/>
    <w:rsid w:val="00DF0012"/>
    <w:rsid w:val="00DF6588"/>
    <w:rsid w:val="00E37140"/>
    <w:rsid w:val="00E4663B"/>
    <w:rsid w:val="00E51033"/>
    <w:rsid w:val="00E56A80"/>
    <w:rsid w:val="00E9779D"/>
    <w:rsid w:val="00EA4B20"/>
    <w:rsid w:val="00EB6C45"/>
    <w:rsid w:val="00EF5AA8"/>
    <w:rsid w:val="00F551D1"/>
    <w:rsid w:val="00F575EF"/>
    <w:rsid w:val="00F627DF"/>
    <w:rsid w:val="00F76704"/>
    <w:rsid w:val="00F8001C"/>
    <w:rsid w:val="00F91A82"/>
    <w:rsid w:val="00FB10EE"/>
    <w:rsid w:val="00FC0E8A"/>
    <w:rsid w:val="00FC25C4"/>
    <w:rsid w:val="00FE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5DE0"/>
    <w:pPr>
      <w:spacing w:after="0" w:line="240" w:lineRule="auto"/>
    </w:pPr>
    <w:rPr>
      <w:sz w:val="20"/>
      <w:szCs w:val="20"/>
    </w:rPr>
  </w:style>
  <w:style w:type="character" w:customStyle="1" w:styleId="FootnoteTextChar">
    <w:name w:val="Footnote Text Char"/>
    <w:basedOn w:val="DefaultParagraphFont"/>
    <w:link w:val="FootnoteText"/>
    <w:uiPriority w:val="99"/>
    <w:rsid w:val="00375DE0"/>
    <w:rPr>
      <w:sz w:val="20"/>
      <w:szCs w:val="20"/>
    </w:rPr>
  </w:style>
  <w:style w:type="character" w:styleId="FootnoteReference">
    <w:name w:val="footnote reference"/>
    <w:basedOn w:val="DefaultParagraphFont"/>
    <w:uiPriority w:val="99"/>
    <w:semiHidden/>
    <w:unhideWhenUsed/>
    <w:rsid w:val="00375DE0"/>
    <w:rPr>
      <w:vertAlign w:val="superscript"/>
    </w:rPr>
  </w:style>
  <w:style w:type="paragraph" w:styleId="ListParagraph">
    <w:name w:val="List Paragraph"/>
    <w:basedOn w:val="Normal"/>
    <w:uiPriority w:val="34"/>
    <w:qFormat/>
    <w:rsid w:val="00375DE0"/>
    <w:pPr>
      <w:ind w:left="720"/>
      <w:contextualSpacing/>
    </w:pPr>
  </w:style>
  <w:style w:type="table" w:styleId="TableGrid">
    <w:name w:val="Table Grid"/>
    <w:basedOn w:val="TableNormal"/>
    <w:uiPriority w:val="59"/>
    <w:rsid w:val="0063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41"/>
    <w:rPr>
      <w:rFonts w:ascii="Tahoma" w:hAnsi="Tahoma" w:cs="Tahoma"/>
      <w:sz w:val="16"/>
      <w:szCs w:val="16"/>
    </w:rPr>
  </w:style>
  <w:style w:type="character" w:styleId="CommentReference">
    <w:name w:val="annotation reference"/>
    <w:basedOn w:val="DefaultParagraphFont"/>
    <w:uiPriority w:val="99"/>
    <w:semiHidden/>
    <w:unhideWhenUsed/>
    <w:rsid w:val="00E51033"/>
    <w:rPr>
      <w:sz w:val="16"/>
      <w:szCs w:val="16"/>
    </w:rPr>
  </w:style>
  <w:style w:type="paragraph" w:styleId="CommentText">
    <w:name w:val="annotation text"/>
    <w:basedOn w:val="Normal"/>
    <w:link w:val="CommentTextChar"/>
    <w:uiPriority w:val="99"/>
    <w:semiHidden/>
    <w:unhideWhenUsed/>
    <w:rsid w:val="00E51033"/>
    <w:pPr>
      <w:spacing w:line="240" w:lineRule="auto"/>
    </w:pPr>
    <w:rPr>
      <w:sz w:val="20"/>
      <w:szCs w:val="20"/>
    </w:rPr>
  </w:style>
  <w:style w:type="character" w:customStyle="1" w:styleId="CommentTextChar">
    <w:name w:val="Comment Text Char"/>
    <w:basedOn w:val="DefaultParagraphFont"/>
    <w:link w:val="CommentText"/>
    <w:uiPriority w:val="99"/>
    <w:semiHidden/>
    <w:rsid w:val="00E51033"/>
    <w:rPr>
      <w:sz w:val="20"/>
      <w:szCs w:val="20"/>
    </w:rPr>
  </w:style>
  <w:style w:type="paragraph" w:styleId="CommentSubject">
    <w:name w:val="annotation subject"/>
    <w:basedOn w:val="CommentText"/>
    <w:next w:val="CommentText"/>
    <w:link w:val="CommentSubjectChar"/>
    <w:uiPriority w:val="99"/>
    <w:semiHidden/>
    <w:unhideWhenUsed/>
    <w:rsid w:val="00E51033"/>
    <w:rPr>
      <w:b/>
      <w:bCs/>
    </w:rPr>
  </w:style>
  <w:style w:type="character" w:customStyle="1" w:styleId="CommentSubjectChar">
    <w:name w:val="Comment Subject Char"/>
    <w:basedOn w:val="CommentTextChar"/>
    <w:link w:val="CommentSubject"/>
    <w:uiPriority w:val="99"/>
    <w:semiHidden/>
    <w:rsid w:val="00E51033"/>
    <w:rPr>
      <w:b/>
      <w:bCs/>
      <w:sz w:val="20"/>
      <w:szCs w:val="20"/>
    </w:rPr>
  </w:style>
  <w:style w:type="character" w:styleId="Hyperlink">
    <w:name w:val="Hyperlink"/>
    <w:basedOn w:val="DefaultParagraphFont"/>
    <w:uiPriority w:val="99"/>
    <w:unhideWhenUsed/>
    <w:rsid w:val="00B73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5DE0"/>
    <w:pPr>
      <w:spacing w:after="0" w:line="240" w:lineRule="auto"/>
    </w:pPr>
    <w:rPr>
      <w:sz w:val="20"/>
      <w:szCs w:val="20"/>
    </w:rPr>
  </w:style>
  <w:style w:type="character" w:customStyle="1" w:styleId="FootnoteTextChar">
    <w:name w:val="Footnote Text Char"/>
    <w:basedOn w:val="DefaultParagraphFont"/>
    <w:link w:val="FootnoteText"/>
    <w:uiPriority w:val="99"/>
    <w:rsid w:val="00375DE0"/>
    <w:rPr>
      <w:sz w:val="20"/>
      <w:szCs w:val="20"/>
    </w:rPr>
  </w:style>
  <w:style w:type="character" w:styleId="FootnoteReference">
    <w:name w:val="footnote reference"/>
    <w:basedOn w:val="DefaultParagraphFont"/>
    <w:uiPriority w:val="99"/>
    <w:semiHidden/>
    <w:unhideWhenUsed/>
    <w:rsid w:val="00375DE0"/>
    <w:rPr>
      <w:vertAlign w:val="superscript"/>
    </w:rPr>
  </w:style>
  <w:style w:type="paragraph" w:styleId="ListParagraph">
    <w:name w:val="List Paragraph"/>
    <w:basedOn w:val="Normal"/>
    <w:uiPriority w:val="34"/>
    <w:qFormat/>
    <w:rsid w:val="00375DE0"/>
    <w:pPr>
      <w:ind w:left="720"/>
      <w:contextualSpacing/>
    </w:pPr>
  </w:style>
  <w:style w:type="table" w:styleId="TableGrid">
    <w:name w:val="Table Grid"/>
    <w:basedOn w:val="TableNormal"/>
    <w:uiPriority w:val="59"/>
    <w:rsid w:val="0063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41"/>
    <w:rPr>
      <w:rFonts w:ascii="Tahoma" w:hAnsi="Tahoma" w:cs="Tahoma"/>
      <w:sz w:val="16"/>
      <w:szCs w:val="16"/>
    </w:rPr>
  </w:style>
  <w:style w:type="character" w:styleId="CommentReference">
    <w:name w:val="annotation reference"/>
    <w:basedOn w:val="DefaultParagraphFont"/>
    <w:uiPriority w:val="99"/>
    <w:semiHidden/>
    <w:unhideWhenUsed/>
    <w:rsid w:val="00E51033"/>
    <w:rPr>
      <w:sz w:val="16"/>
      <w:szCs w:val="16"/>
    </w:rPr>
  </w:style>
  <w:style w:type="paragraph" w:styleId="CommentText">
    <w:name w:val="annotation text"/>
    <w:basedOn w:val="Normal"/>
    <w:link w:val="CommentTextChar"/>
    <w:uiPriority w:val="99"/>
    <w:semiHidden/>
    <w:unhideWhenUsed/>
    <w:rsid w:val="00E51033"/>
    <w:pPr>
      <w:spacing w:line="240" w:lineRule="auto"/>
    </w:pPr>
    <w:rPr>
      <w:sz w:val="20"/>
      <w:szCs w:val="20"/>
    </w:rPr>
  </w:style>
  <w:style w:type="character" w:customStyle="1" w:styleId="CommentTextChar">
    <w:name w:val="Comment Text Char"/>
    <w:basedOn w:val="DefaultParagraphFont"/>
    <w:link w:val="CommentText"/>
    <w:uiPriority w:val="99"/>
    <w:semiHidden/>
    <w:rsid w:val="00E51033"/>
    <w:rPr>
      <w:sz w:val="20"/>
      <w:szCs w:val="20"/>
    </w:rPr>
  </w:style>
  <w:style w:type="paragraph" w:styleId="CommentSubject">
    <w:name w:val="annotation subject"/>
    <w:basedOn w:val="CommentText"/>
    <w:next w:val="CommentText"/>
    <w:link w:val="CommentSubjectChar"/>
    <w:uiPriority w:val="99"/>
    <w:semiHidden/>
    <w:unhideWhenUsed/>
    <w:rsid w:val="00E51033"/>
    <w:rPr>
      <w:b/>
      <w:bCs/>
    </w:rPr>
  </w:style>
  <w:style w:type="character" w:customStyle="1" w:styleId="CommentSubjectChar">
    <w:name w:val="Comment Subject Char"/>
    <w:basedOn w:val="CommentTextChar"/>
    <w:link w:val="CommentSubject"/>
    <w:uiPriority w:val="99"/>
    <w:semiHidden/>
    <w:rsid w:val="00E51033"/>
    <w:rPr>
      <w:b/>
      <w:bCs/>
      <w:sz w:val="20"/>
      <w:szCs w:val="20"/>
    </w:rPr>
  </w:style>
  <w:style w:type="character" w:styleId="Hyperlink">
    <w:name w:val="Hyperlink"/>
    <w:basedOn w:val="DefaultParagraphFont"/>
    <w:uiPriority w:val="99"/>
    <w:unhideWhenUsed/>
    <w:rsid w:val="00B73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996">
      <w:bodyDiv w:val="1"/>
      <w:marLeft w:val="0"/>
      <w:marRight w:val="0"/>
      <w:marTop w:val="0"/>
      <w:marBottom w:val="0"/>
      <w:divBdr>
        <w:top w:val="none" w:sz="0" w:space="0" w:color="auto"/>
        <w:left w:val="none" w:sz="0" w:space="0" w:color="auto"/>
        <w:bottom w:val="none" w:sz="0" w:space="0" w:color="auto"/>
        <w:right w:val="none" w:sz="0" w:space="0" w:color="auto"/>
      </w:divBdr>
    </w:div>
    <w:div w:id="372269141">
      <w:bodyDiv w:val="1"/>
      <w:marLeft w:val="0"/>
      <w:marRight w:val="0"/>
      <w:marTop w:val="0"/>
      <w:marBottom w:val="0"/>
      <w:divBdr>
        <w:top w:val="none" w:sz="0" w:space="0" w:color="auto"/>
        <w:left w:val="none" w:sz="0" w:space="0" w:color="auto"/>
        <w:bottom w:val="none" w:sz="0" w:space="0" w:color="auto"/>
        <w:right w:val="none" w:sz="0" w:space="0" w:color="auto"/>
      </w:divBdr>
      <w:divsChild>
        <w:div w:id="1525093820">
          <w:marLeft w:val="533"/>
          <w:marRight w:val="0"/>
          <w:marTop w:val="115"/>
          <w:marBottom w:val="0"/>
          <w:divBdr>
            <w:top w:val="none" w:sz="0" w:space="0" w:color="auto"/>
            <w:left w:val="none" w:sz="0" w:space="0" w:color="auto"/>
            <w:bottom w:val="none" w:sz="0" w:space="0" w:color="auto"/>
            <w:right w:val="none" w:sz="0" w:space="0" w:color="auto"/>
          </w:divBdr>
        </w:div>
        <w:div w:id="973675378">
          <w:marLeft w:val="533"/>
          <w:marRight w:val="0"/>
          <w:marTop w:val="115"/>
          <w:marBottom w:val="0"/>
          <w:divBdr>
            <w:top w:val="none" w:sz="0" w:space="0" w:color="auto"/>
            <w:left w:val="none" w:sz="0" w:space="0" w:color="auto"/>
            <w:bottom w:val="none" w:sz="0" w:space="0" w:color="auto"/>
            <w:right w:val="none" w:sz="0" w:space="0" w:color="auto"/>
          </w:divBdr>
        </w:div>
        <w:div w:id="1776434735">
          <w:marLeft w:val="533"/>
          <w:marRight w:val="0"/>
          <w:marTop w:val="115"/>
          <w:marBottom w:val="0"/>
          <w:divBdr>
            <w:top w:val="none" w:sz="0" w:space="0" w:color="auto"/>
            <w:left w:val="none" w:sz="0" w:space="0" w:color="auto"/>
            <w:bottom w:val="none" w:sz="0" w:space="0" w:color="auto"/>
            <w:right w:val="none" w:sz="0" w:space="0" w:color="auto"/>
          </w:divBdr>
        </w:div>
        <w:div w:id="1439368896">
          <w:marLeft w:val="533"/>
          <w:marRight w:val="0"/>
          <w:marTop w:val="115"/>
          <w:marBottom w:val="0"/>
          <w:divBdr>
            <w:top w:val="none" w:sz="0" w:space="0" w:color="auto"/>
            <w:left w:val="none" w:sz="0" w:space="0" w:color="auto"/>
            <w:bottom w:val="none" w:sz="0" w:space="0" w:color="auto"/>
            <w:right w:val="none" w:sz="0" w:space="0" w:color="auto"/>
          </w:divBdr>
        </w:div>
        <w:div w:id="2025663158">
          <w:marLeft w:val="533"/>
          <w:marRight w:val="0"/>
          <w:marTop w:val="115"/>
          <w:marBottom w:val="0"/>
          <w:divBdr>
            <w:top w:val="none" w:sz="0" w:space="0" w:color="auto"/>
            <w:left w:val="none" w:sz="0" w:space="0" w:color="auto"/>
            <w:bottom w:val="none" w:sz="0" w:space="0" w:color="auto"/>
            <w:right w:val="none" w:sz="0" w:space="0" w:color="auto"/>
          </w:divBdr>
        </w:div>
      </w:divsChild>
    </w:div>
    <w:div w:id="1179349259">
      <w:bodyDiv w:val="1"/>
      <w:marLeft w:val="0"/>
      <w:marRight w:val="0"/>
      <w:marTop w:val="0"/>
      <w:marBottom w:val="0"/>
      <w:divBdr>
        <w:top w:val="none" w:sz="0" w:space="0" w:color="auto"/>
        <w:left w:val="none" w:sz="0" w:space="0" w:color="auto"/>
        <w:bottom w:val="none" w:sz="0" w:space="0" w:color="auto"/>
        <w:right w:val="none" w:sz="0" w:space="0" w:color="auto"/>
      </w:divBdr>
    </w:div>
    <w:div w:id="1704673918">
      <w:bodyDiv w:val="1"/>
      <w:marLeft w:val="0"/>
      <w:marRight w:val="0"/>
      <w:marTop w:val="0"/>
      <w:marBottom w:val="0"/>
      <w:divBdr>
        <w:top w:val="none" w:sz="0" w:space="0" w:color="auto"/>
        <w:left w:val="none" w:sz="0" w:space="0" w:color="auto"/>
        <w:bottom w:val="none" w:sz="0" w:space="0" w:color="auto"/>
        <w:right w:val="none" w:sz="0" w:space="0" w:color="auto"/>
      </w:divBdr>
    </w:div>
    <w:div w:id="1915116185">
      <w:bodyDiv w:val="1"/>
      <w:marLeft w:val="0"/>
      <w:marRight w:val="0"/>
      <w:marTop w:val="0"/>
      <w:marBottom w:val="0"/>
      <w:divBdr>
        <w:top w:val="none" w:sz="0" w:space="0" w:color="auto"/>
        <w:left w:val="none" w:sz="0" w:space="0" w:color="auto"/>
        <w:bottom w:val="none" w:sz="0" w:space="0" w:color="auto"/>
        <w:right w:val="none" w:sz="0" w:space="0" w:color="auto"/>
      </w:divBdr>
    </w:div>
    <w:div w:id="2007514635">
      <w:bodyDiv w:val="1"/>
      <w:marLeft w:val="0"/>
      <w:marRight w:val="0"/>
      <w:marTop w:val="0"/>
      <w:marBottom w:val="0"/>
      <w:divBdr>
        <w:top w:val="none" w:sz="0" w:space="0" w:color="auto"/>
        <w:left w:val="none" w:sz="0" w:space="0" w:color="auto"/>
        <w:bottom w:val="none" w:sz="0" w:space="0" w:color="auto"/>
        <w:right w:val="none" w:sz="0" w:space="0" w:color="auto"/>
      </w:divBdr>
      <w:divsChild>
        <w:div w:id="2031027880">
          <w:marLeft w:val="533"/>
          <w:marRight w:val="0"/>
          <w:marTop w:val="115"/>
          <w:marBottom w:val="0"/>
          <w:divBdr>
            <w:top w:val="none" w:sz="0" w:space="0" w:color="auto"/>
            <w:left w:val="none" w:sz="0" w:space="0" w:color="auto"/>
            <w:bottom w:val="none" w:sz="0" w:space="0" w:color="auto"/>
            <w:right w:val="none" w:sz="0" w:space="0" w:color="auto"/>
          </w:divBdr>
        </w:div>
        <w:div w:id="50158722">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214652516261505E-2"/>
          <c:y val="0.13257997102421801"/>
          <c:w val="0.88246167598615399"/>
          <c:h val="0.65295178383093699"/>
        </c:manualLayout>
      </c:layout>
      <c:lineChart>
        <c:grouping val="standard"/>
        <c:varyColors val="0"/>
        <c:ser>
          <c:idx val="0"/>
          <c:order val="0"/>
          <c:tx>
            <c:strRef>
              <c:f>'Leaver Trend Analysis'!$C$15</c:f>
              <c:strCache>
                <c:ptCount val="1"/>
                <c:pt idx="0">
                  <c:v>% Leaver (All)
2004</c:v>
                </c:pt>
              </c:strCache>
            </c:strRef>
          </c:tx>
          <c:dLbls>
            <c:dLbl>
              <c:idx val="0"/>
              <c:layout>
                <c:manualLayout>
                  <c:x val="-5.7971014492753603E-2"/>
                  <c:y val="-3.5378668404028597E-2"/>
                </c:manualLayout>
              </c:layout>
              <c:dLblPos val="r"/>
              <c:showLegendKey val="0"/>
              <c:showVal val="1"/>
              <c:showCatName val="0"/>
              <c:showSerName val="0"/>
              <c:showPercent val="0"/>
              <c:showBubbleSize val="0"/>
            </c:dLbl>
            <c:dLbl>
              <c:idx val="1"/>
              <c:layout>
                <c:manualLayout>
                  <c:x val="-7.2463768115942004E-3"/>
                  <c:y val="4.42233355050358E-2"/>
                </c:manualLayout>
              </c:layout>
              <c:dLblPos val="r"/>
              <c:showLegendKey val="0"/>
              <c:showVal val="1"/>
              <c:showCatName val="0"/>
              <c:showSerName val="0"/>
              <c:showPercent val="0"/>
              <c:showBubbleSize val="0"/>
            </c:dLbl>
            <c:dLbl>
              <c:idx val="2"/>
              <c:layout>
                <c:manualLayout>
                  <c:x val="-4.8309178743961298E-3"/>
                  <c:y val="5.3068002606042899E-2"/>
                </c:manualLayout>
              </c:layout>
              <c:dLblPos val="r"/>
              <c:showLegendKey val="0"/>
              <c:showVal val="1"/>
              <c:showCatName val="0"/>
              <c:showSerName val="0"/>
              <c:showPercent val="0"/>
              <c:showBubbleSize val="0"/>
            </c:dLbl>
            <c:dLbl>
              <c:idx val="3"/>
              <c:layout>
                <c:manualLayout>
                  <c:x val="0"/>
                  <c:y val="2.6534001303021401E-2"/>
                </c:manualLayout>
              </c:layout>
              <c:dLblPos val="r"/>
              <c:showLegendKey val="0"/>
              <c:showVal val="1"/>
              <c:showCatName val="0"/>
              <c:showSerName val="0"/>
              <c:showPercent val="0"/>
              <c:showBubbleSize val="0"/>
            </c:dLbl>
            <c:dLbl>
              <c:idx val="4"/>
              <c:layout>
                <c:manualLayout>
                  <c:x val="0"/>
                  <c:y val="1.7689334202014299E-2"/>
                </c:manualLayout>
              </c:layout>
              <c:dLblPos val="r"/>
              <c:showLegendKey val="0"/>
              <c:showVal val="1"/>
              <c:showCatName val="0"/>
              <c:showSerName val="0"/>
              <c:showPercent val="0"/>
              <c:showBubbleSize val="0"/>
            </c:dLbl>
            <c:dLbl>
              <c:idx val="8"/>
              <c:layout>
                <c:manualLayout>
                  <c:x val="0"/>
                  <c:y val="-3.3666138267369999E-2"/>
                </c:manualLayout>
              </c:layout>
              <c:dLblPos val="r"/>
              <c:showLegendKey val="0"/>
              <c:showVal val="1"/>
              <c:showCatName val="0"/>
              <c:showSerName val="0"/>
              <c:showPercent val="0"/>
              <c:showBubbleSize val="0"/>
            </c:dLbl>
            <c:dLblPos val="r"/>
            <c:showLegendKey val="0"/>
            <c:showVal val="1"/>
            <c:showCatName val="0"/>
            <c:showSerName val="0"/>
            <c:showPercent val="0"/>
            <c:showBubbleSize val="0"/>
            <c:showLeaderLines val="0"/>
          </c:dLbls>
          <c:cat>
            <c:strRef>
              <c:f>'Leaver Trend Analysis'!$B$16:$B$24</c:f>
              <c:strCache>
                <c:ptCount val="9"/>
                <c:pt idx="0">
                  <c:v>Under 30</c:v>
                </c:pt>
                <c:pt idx="1">
                  <c:v>30-34</c:v>
                </c:pt>
                <c:pt idx="2">
                  <c:v>35-39</c:v>
                </c:pt>
                <c:pt idx="3">
                  <c:v>40-44</c:v>
                </c:pt>
                <c:pt idx="4">
                  <c:v>45-49</c:v>
                </c:pt>
                <c:pt idx="5">
                  <c:v>50-54</c:v>
                </c:pt>
                <c:pt idx="6">
                  <c:v>55-59</c:v>
                </c:pt>
                <c:pt idx="7">
                  <c:v>60-64</c:v>
                </c:pt>
                <c:pt idx="8">
                  <c:v>65+</c:v>
                </c:pt>
              </c:strCache>
            </c:strRef>
          </c:cat>
          <c:val>
            <c:numRef>
              <c:f>'Leaver Trend Analysis'!$C$16:$C$24</c:f>
              <c:numCache>
                <c:formatCode>0.0%</c:formatCode>
                <c:ptCount val="9"/>
                <c:pt idx="0">
                  <c:v>7.55467196819085E-2</c:v>
                </c:pt>
                <c:pt idx="1">
                  <c:v>7.5591075591075599E-2</c:v>
                </c:pt>
                <c:pt idx="2">
                  <c:v>5.1159765879037498E-2</c:v>
                </c:pt>
                <c:pt idx="3">
                  <c:v>2.8858839050131899E-2</c:v>
                </c:pt>
                <c:pt idx="4">
                  <c:v>2.4165915238953999E-2</c:v>
                </c:pt>
                <c:pt idx="5">
                  <c:v>3.01999149298171E-2</c:v>
                </c:pt>
                <c:pt idx="6">
                  <c:v>6.4782724606771494E-2</c:v>
                </c:pt>
                <c:pt idx="7">
                  <c:v>0.12329656067488599</c:v>
                </c:pt>
                <c:pt idx="8">
                  <c:v>0.223270440251572</c:v>
                </c:pt>
              </c:numCache>
            </c:numRef>
          </c:val>
          <c:smooth val="0"/>
        </c:ser>
        <c:ser>
          <c:idx val="1"/>
          <c:order val="1"/>
          <c:tx>
            <c:strRef>
              <c:f>'Leaver Trend Analysis'!$D$15</c:f>
              <c:strCache>
                <c:ptCount val="1"/>
                <c:pt idx="0">
                  <c:v>% Leaver (All)
2014</c:v>
                </c:pt>
              </c:strCache>
            </c:strRef>
          </c:tx>
          <c:dLbls>
            <c:dLbl>
              <c:idx val="0"/>
              <c:layout>
                <c:manualLayout>
                  <c:x val="-5.4124538780478501E-2"/>
                  <c:y val="5.2614626363306098E-2"/>
                </c:manualLayout>
              </c:layout>
              <c:dLblPos val="r"/>
              <c:showLegendKey val="0"/>
              <c:showVal val="1"/>
              <c:showCatName val="0"/>
              <c:showSerName val="0"/>
              <c:showPercent val="0"/>
              <c:showBubbleSize val="0"/>
            </c:dLbl>
            <c:dLbl>
              <c:idx val="8"/>
              <c:layout>
                <c:manualLayout>
                  <c:x val="-1.6605804709194001E-3"/>
                  <c:y val="4.376995926229899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'Leaver Trend Analysis'!$B$16:$B$24</c:f>
              <c:strCache>
                <c:ptCount val="9"/>
                <c:pt idx="0">
                  <c:v>Under 30</c:v>
                </c:pt>
                <c:pt idx="1">
                  <c:v>30-34</c:v>
                </c:pt>
                <c:pt idx="2">
                  <c:v>35-39</c:v>
                </c:pt>
                <c:pt idx="3">
                  <c:v>40-44</c:v>
                </c:pt>
                <c:pt idx="4">
                  <c:v>45-49</c:v>
                </c:pt>
                <c:pt idx="5">
                  <c:v>50-54</c:v>
                </c:pt>
                <c:pt idx="6">
                  <c:v>55-59</c:v>
                </c:pt>
                <c:pt idx="7">
                  <c:v>60-64</c:v>
                </c:pt>
                <c:pt idx="8">
                  <c:v>65+</c:v>
                </c:pt>
              </c:strCache>
            </c:strRef>
          </c:cat>
          <c:val>
            <c:numRef>
              <c:f>'Leaver Trend Analysis'!$D$16:$D$24</c:f>
              <c:numCache>
                <c:formatCode>0.0%</c:formatCode>
                <c:ptCount val="9"/>
                <c:pt idx="0">
                  <c:v>7.1428571428571397E-2</c:v>
                </c:pt>
                <c:pt idx="1">
                  <c:v>7.3176761433869003E-2</c:v>
                </c:pt>
                <c:pt idx="2">
                  <c:v>6.9343065693430697E-2</c:v>
                </c:pt>
                <c:pt idx="3">
                  <c:v>5.1919561243144403E-2</c:v>
                </c:pt>
                <c:pt idx="4">
                  <c:v>3.8608695652173897E-2</c:v>
                </c:pt>
                <c:pt idx="5">
                  <c:v>3.8635628839314602E-2</c:v>
                </c:pt>
                <c:pt idx="6">
                  <c:v>0.15454545454545501</c:v>
                </c:pt>
                <c:pt idx="7">
                  <c:v>0.179226069246436</c:v>
                </c:pt>
                <c:pt idx="8">
                  <c:v>0.17957505140507199</c:v>
                </c:pt>
              </c:numCache>
            </c:numRef>
          </c:val>
          <c:smooth val="0"/>
        </c:ser>
        <c:dLbls>
          <c:showLegendKey val="0"/>
          <c:showVal val="0"/>
          <c:showCatName val="0"/>
          <c:showSerName val="0"/>
          <c:showPercent val="0"/>
          <c:showBubbleSize val="0"/>
        </c:dLbls>
        <c:marker val="1"/>
        <c:smooth val="0"/>
        <c:axId val="37074048"/>
        <c:axId val="37075584"/>
      </c:lineChart>
      <c:catAx>
        <c:axId val="37074048"/>
        <c:scaling>
          <c:orientation val="minMax"/>
        </c:scaling>
        <c:delete val="0"/>
        <c:axPos val="b"/>
        <c:majorTickMark val="none"/>
        <c:minorTickMark val="none"/>
        <c:tickLblPos val="nextTo"/>
        <c:crossAx val="37075584"/>
        <c:crosses val="autoZero"/>
        <c:auto val="1"/>
        <c:lblAlgn val="ctr"/>
        <c:lblOffset val="100"/>
        <c:noMultiLvlLbl val="0"/>
      </c:catAx>
      <c:valAx>
        <c:axId val="37075584"/>
        <c:scaling>
          <c:orientation val="minMax"/>
        </c:scaling>
        <c:delete val="0"/>
        <c:axPos val="l"/>
        <c:majorGridlines/>
        <c:numFmt formatCode="0.0%" sourceLinked="1"/>
        <c:majorTickMark val="none"/>
        <c:minorTickMark val="none"/>
        <c:tickLblPos val="nextTo"/>
        <c:spPr>
          <a:ln w="9525">
            <a:solidFill>
              <a:schemeClr val="accent1"/>
            </a:solidFill>
          </a:ln>
        </c:spPr>
        <c:crossAx val="37074048"/>
        <c:crosses val="autoZero"/>
        <c:crossBetween val="between"/>
      </c:valAx>
    </c:plotArea>
    <c:legend>
      <c:legendPos val="b"/>
      <c:overlay val="0"/>
    </c:legend>
    <c:plotVisOnly val="1"/>
    <c:dispBlanksAs val="gap"/>
    <c:showDLblsOverMax val="0"/>
  </c:chart>
  <c:spPr>
    <a:solidFill>
      <a:schemeClr val="bg1"/>
    </a:solidFill>
    <a:ln>
      <a:solidFill>
        <a:srgbClr val="002060"/>
      </a:solidFill>
    </a:ln>
  </c:spPr>
  <c:txPr>
    <a:bodyPr/>
    <a:lstStyle/>
    <a:p>
      <a:pPr>
        <a:defRPr sz="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B6D5-60A6-4C68-A1C4-6C08D699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Poulter</dc:creator>
  <cp:lastModifiedBy>Tim</cp:lastModifiedBy>
  <cp:revision>2</cp:revision>
  <cp:lastPrinted>2016-11-14T15:05:00Z</cp:lastPrinted>
  <dcterms:created xsi:type="dcterms:W3CDTF">2016-11-25T11:10:00Z</dcterms:created>
  <dcterms:modified xsi:type="dcterms:W3CDTF">2016-11-25T11:10:00Z</dcterms:modified>
</cp:coreProperties>
</file>